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eastAsia="Calibri"/>
          <w:b/>
          <w:sz w:val="32"/>
          <w:szCs w:val="32"/>
        </w:rPr>
        <w:t>Т</w:t>
      </w:r>
      <w:r>
        <w:rPr>
          <w:rFonts w:eastAsia="Calibri"/>
          <w:b/>
        </w:rPr>
        <w:t>ехнические требования</w:t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jc w:val="center"/>
        <w:rPr/>
      </w:pPr>
      <w:bookmarkStart w:id="0" w:name="__DdeLink__42936_2476813843"/>
      <w:r>
        <w:rPr>
          <w:b/>
          <w:i/>
        </w:rPr>
        <w:t xml:space="preserve">ОКПД2 </w:t>
      </w:r>
      <w:bookmarkEnd w:id="0"/>
      <w:r>
        <w:rPr>
          <w:b/>
          <w:i/>
        </w:rPr>
        <w:t xml:space="preserve">26.20.40.140  Приобретение прав на использование программного обеспечения </w:t>
      </w:r>
      <w:r>
        <w:rPr>
          <w:rFonts w:cs="Liberation Serif;Times New Roma"/>
          <w:b/>
          <w:i/>
          <w:lang w:eastAsia="ru-RU"/>
        </w:rPr>
        <w:t xml:space="preserve">технических средств защиты информации локальной системы  оповещения </w:t>
      </w:r>
      <w:r>
        <w:rPr>
          <w:b/>
          <w:i/>
        </w:rPr>
        <w:t xml:space="preserve"> ПАО «РусГидро»-Саратовская ГЭС»</w:t>
      </w:r>
    </w:p>
    <w:p>
      <w:pPr>
        <w:pStyle w:val="Normal"/>
        <w:jc w:val="center"/>
        <w:rPr>
          <w:b/>
          <w:i/>
          <w:i/>
        </w:rPr>
      </w:pPr>
      <w:r>
        <w:rPr>
          <w:b/>
          <w:i/>
        </w:rPr>
      </w:r>
      <w:r>
        <w:br w:type="page"/>
      </w:r>
    </w:p>
    <w:p>
      <w:pPr>
        <w:pStyle w:val="Normal"/>
        <w:jc w:val="center"/>
        <w:rPr>
          <w:b/>
          <w:i/>
          <w:i/>
        </w:rPr>
      </w:pPr>
      <w:r>
        <w:rPr>
          <w:b/>
          <w:i/>
        </w:rPr>
      </w:r>
    </w:p>
    <w:p>
      <w:pPr>
        <w:pStyle w:val="Normal"/>
        <w:jc w:val="center"/>
        <w:rPr/>
      </w:pPr>
      <w:r>
        <w:rPr/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2"/>
            <w:tabs>
              <w:tab w:val="left" w:pos="708" w:leader="none"/>
              <w:tab w:val="right" w:pos="10204" w:leader="dot"/>
            </w:tabs>
            <w:rPr/>
          </w:pPr>
          <w:r>
            <w:fldChar w:fldCharType="begin"/>
          </w:r>
          <w:r>
            <w:rPr>
              <w:rStyle w:val="Style13"/>
            </w:rPr>
            <w:instrText xml:space="preserve"> TOC \o "1-4" \h</w:instrText>
          </w:r>
          <w:r>
            <w:rPr>
              <w:rStyle w:val="Style13"/>
            </w:rPr>
            <w:fldChar w:fldCharType="separate"/>
          </w:r>
          <w:hyperlink w:anchor="__RefHeading___Toc138070057">
            <w:r>
              <w:rPr>
                <w:rStyle w:val="Style13"/>
              </w:rPr>
              <w:t>1.</w:t>
              <w:tab/>
            </w:r>
            <w:r>
              <w:rPr>
                <w:rStyle w:val="Style13"/>
                <w:i w:val="false"/>
              </w:rPr>
              <w:t>Общие сведения</w:t>
            </w:r>
            <w:r>
              <w:rPr>
                <w:rStyle w:val="Style13"/>
              </w:rPr>
              <w:tab/>
              <w:t>3</w:t>
            </w:r>
          </w:hyperlink>
        </w:p>
        <w:p>
          <w:pPr>
            <w:pStyle w:val="TOC1"/>
            <w:tabs>
              <w:tab w:val="left" w:pos="708" w:leader="none"/>
              <w:tab w:val="right" w:pos="10204" w:leader="dot"/>
            </w:tabs>
            <w:rPr/>
          </w:pPr>
          <w:hyperlink w:anchor="__RefHeading___Toc47395_2069302926">
            <w:r>
              <w:rPr>
                <w:rStyle w:val="Style13"/>
              </w:rPr>
              <w:tab/>
              <w:t>1.2. Наименование закупаемой продукции</w:t>
              <w:tab/>
              <w:t>3</w:t>
            </w:r>
          </w:hyperlink>
        </w:p>
        <w:p>
          <w:pPr>
            <w:pStyle w:val="TOC1"/>
            <w:tabs>
              <w:tab w:val="left" w:pos="708" w:leader="none"/>
              <w:tab w:val="right" w:pos="10204" w:leader="dot"/>
            </w:tabs>
            <w:rPr/>
          </w:pPr>
          <w:hyperlink w:anchor="__RefHeading___Toc47397_2069302926">
            <w:r>
              <w:rPr>
                <w:rStyle w:val="Style13"/>
              </w:rPr>
              <w:tab/>
              <w:t>1.3. Цель использования закупаемой продукции</w:t>
              <w:tab/>
              <w:t>3</w:t>
            </w:r>
          </w:hyperlink>
        </w:p>
        <w:p>
          <w:pPr>
            <w:pStyle w:val="TOC2"/>
            <w:tabs>
              <w:tab w:val="left" w:pos="708" w:leader="none"/>
              <w:tab w:val="right" w:pos="10204" w:leader="dot"/>
            </w:tabs>
            <w:rPr/>
          </w:pPr>
          <w:hyperlink w:anchor="__RefHeading___Toc138070059">
            <w:r>
              <w:rPr>
                <w:rStyle w:val="Style13"/>
              </w:rPr>
              <w:t>2.</w:t>
              <w:tab/>
            </w:r>
            <w:r>
              <w:rPr>
                <w:rStyle w:val="Style13"/>
                <w:i w:val="false"/>
              </w:rPr>
              <w:t>Требования к продукции</w:t>
            </w:r>
            <w:r>
              <w:rPr>
                <w:rStyle w:val="Style13"/>
              </w:rPr>
              <w:tab/>
              <w:t>3</w:t>
            </w:r>
          </w:hyperlink>
        </w:p>
        <w:p>
          <w:pPr>
            <w:pStyle w:val="TOC1"/>
            <w:tabs>
              <w:tab w:val="left" w:pos="708" w:leader="none"/>
              <w:tab w:val="right" w:pos="10204" w:leader="dot"/>
            </w:tabs>
            <w:rPr/>
          </w:pPr>
          <w:hyperlink w:anchor="__RefHeading___Toc138070060">
            <w:r>
              <w:rPr>
                <w:rStyle w:val="Style13"/>
              </w:rPr>
              <w:t>2.1.</w:t>
              <w:tab/>
              <w:t>Требования к объемам и срокам поставки</w:t>
              <w:tab/>
              <w:t>3</w:t>
            </w:r>
          </w:hyperlink>
        </w:p>
        <w:p>
          <w:pPr>
            <w:pStyle w:val="TOC1"/>
            <w:tabs>
              <w:tab w:val="left" w:pos="708" w:leader="none"/>
              <w:tab w:val="right" w:pos="10204" w:leader="dot"/>
            </w:tabs>
            <w:rPr/>
          </w:pPr>
          <w:hyperlink w:anchor="__RefHeading___Toc138070061">
            <w:r>
              <w:rPr>
                <w:rStyle w:val="Style13"/>
              </w:rPr>
              <w:t>2.1.1.</w:t>
              <w:tab/>
              <w:t>Перечень и объем закупаемой продукции</w:t>
              <w:tab/>
              <w:t>3</w:t>
            </w:r>
          </w:hyperlink>
        </w:p>
        <w:p>
          <w:pPr>
            <w:pStyle w:val="TOC1"/>
            <w:tabs>
              <w:tab w:val="left" w:pos="708" w:leader="none"/>
              <w:tab w:val="right" w:pos="10204" w:leader="dot"/>
            </w:tabs>
            <w:rPr/>
          </w:pPr>
          <w:hyperlink w:anchor="__RefHeading___Toc138070062">
            <w:r>
              <w:rPr>
                <w:rStyle w:val="Style13"/>
              </w:rPr>
              <w:tab/>
              <w:t>Таблица 1 Перечень и объем закупаемой продукции</w:t>
              <w:tab/>
              <w:t>3</w:t>
            </w:r>
          </w:hyperlink>
        </w:p>
        <w:p>
          <w:pPr>
            <w:pStyle w:val="TOC1"/>
            <w:tabs>
              <w:tab w:val="left" w:pos="708" w:leader="none"/>
              <w:tab w:val="right" w:pos="10204" w:leader="dot"/>
            </w:tabs>
            <w:rPr/>
          </w:pPr>
          <w:hyperlink w:anchor="__RefHeading___Toc138070063">
            <w:r>
              <w:rPr>
                <w:rStyle w:val="Style13"/>
              </w:rPr>
              <w:t>3.</w:t>
              <w:tab/>
              <w:t>Требования к срокам поставки продукции</w:t>
              <w:tab/>
              <w:t>6</w:t>
            </w:r>
          </w:hyperlink>
        </w:p>
        <w:p>
          <w:pPr>
            <w:pStyle w:val="TOC1"/>
            <w:tabs>
              <w:tab w:val="left" w:pos="708" w:leader="none"/>
              <w:tab w:val="right" w:pos="10204" w:leader="dot"/>
            </w:tabs>
            <w:rPr/>
          </w:pPr>
          <w:hyperlink w:anchor="__RefHeading___Toc47399_2069302926">
            <w:r>
              <w:rPr>
                <w:rStyle w:val="Style13"/>
              </w:rPr>
              <w:tab/>
              <w:t>Таблица 2 Требования по срокам поставки продукции</w:t>
              <w:tab/>
              <w:t>6</w:t>
            </w:r>
          </w:hyperlink>
        </w:p>
        <w:p>
          <w:pPr>
            <w:pStyle w:val="TOC2"/>
            <w:tabs>
              <w:tab w:val="left" w:pos="708" w:leader="none"/>
              <w:tab w:val="right" w:pos="10204" w:leader="dot"/>
            </w:tabs>
            <w:rPr/>
          </w:pPr>
          <w:hyperlink w:anchor="__RefHeading___Toc138070065">
            <w:r>
              <w:rPr>
                <w:rStyle w:val="Style13"/>
              </w:rPr>
              <w:t>4.</w:t>
              <w:tab/>
            </w:r>
            <w:r>
              <w:rPr>
                <w:rStyle w:val="Style13"/>
                <w:i w:val="false"/>
              </w:rPr>
              <w:t>Требования к качеству продукции</w:t>
            </w:r>
            <w:r>
              <w:rPr>
                <w:rStyle w:val="Style13"/>
              </w:rPr>
              <w:tab/>
              <w:t>8</w:t>
            </w:r>
          </w:hyperlink>
        </w:p>
        <w:p>
          <w:pPr>
            <w:pStyle w:val="TOC1"/>
            <w:tabs>
              <w:tab w:val="left" w:pos="708" w:leader="none"/>
              <w:tab w:val="right" w:pos="10204" w:leader="dot"/>
            </w:tabs>
            <w:rPr/>
          </w:pPr>
          <w:hyperlink w:anchor="__RefHeading___Toc47401_2069302926">
            <w:r>
              <w:rPr>
                <w:rStyle w:val="Style13"/>
              </w:rPr>
              <w:tab/>
              <w:t>Таблица 3. Общие требования к продукции</w:t>
              <w:tab/>
              <w:t>8</w:t>
            </w:r>
          </w:hyperlink>
        </w:p>
        <w:p>
          <w:pPr>
            <w:pStyle w:val="TOC2"/>
            <w:tabs>
              <w:tab w:val="left" w:pos="708" w:leader="none"/>
              <w:tab w:val="right" w:pos="10204" w:leader="dot"/>
            </w:tabs>
            <w:rPr/>
          </w:pPr>
          <w:hyperlink w:anchor="__RefHeading___Toc47403_2069302926">
            <w:r>
              <w:rPr>
                <w:rStyle w:val="Style13"/>
              </w:rPr>
              <w:t>4.1.</w:t>
              <w:tab/>
            </w:r>
            <w:r>
              <w:rPr>
                <w:rStyle w:val="Style13"/>
                <w:i w:val="false"/>
              </w:rPr>
              <w:t>Требования к документации по ценообразованию</w:t>
            </w:r>
            <w:r>
              <w:rPr>
                <w:rStyle w:val="Style13"/>
              </w:rPr>
              <w:tab/>
              <w:t>10</w:t>
            </w:r>
          </w:hyperlink>
          <w:r>
            <w:rPr>
              <w:rStyle w:val="Style13"/>
            </w:rPr>
            <w:fldChar w:fldCharType="end"/>
          </w:r>
        </w:p>
      </w:sdtContent>
    </w:sdt>
    <w:p>
      <w:pPr>
        <w:pStyle w:val="Normal"/>
        <w:rPr>
          <w:rFonts w:eastAsia="Calibri" w:cs="Calibri"/>
          <w:b/>
          <w:i/>
          <w:i/>
          <w:sz w:val="32"/>
          <w:szCs w:val="32"/>
          <w:lang w:eastAsia="ru-RU"/>
        </w:rPr>
      </w:pPr>
      <w:r>
        <w:br w:type="page"/>
      </w:r>
      <w:r>
        <w:rPr>
          <w:rFonts w:eastAsia="Calibri" w:cs="Calibri"/>
          <w:b/>
          <w:i/>
          <w:sz w:val="32"/>
          <w:szCs w:val="32"/>
          <w:lang w:eastAsia="ru-RU"/>
        </w:rPr>
      </w:r>
    </w:p>
    <w:p>
      <w:pPr>
        <w:pStyle w:val="Heading2"/>
        <w:numPr>
          <w:ilvl w:val="1"/>
          <w:numId w:val="6"/>
        </w:numPr>
        <w:spacing w:before="120" w:after="120"/>
        <w:jc w:val="center"/>
        <w:rPr>
          <w:rFonts w:ascii="Times New Roman" w:hAnsi="Times New Roman"/>
        </w:rPr>
      </w:pPr>
      <w:bookmarkStart w:id="1" w:name="__RefHeading___Toc138070057"/>
      <w:bookmarkEnd w:id="1"/>
      <w:r>
        <w:rPr>
          <w:rFonts w:cs="Times New Roman" w:ascii="Times New Roman" w:hAnsi="Times New Roman"/>
          <w:i w:val="false"/>
        </w:rPr>
        <w:t>Общие сведения</w:t>
      </w:r>
    </w:p>
    <w:p>
      <w:pPr>
        <w:pStyle w:val="Heading1"/>
        <w:numPr>
          <w:ilvl w:val="0"/>
          <w:numId w:val="0"/>
        </w:numPr>
        <w:tabs>
          <w:tab w:val="clear" w:pos="708"/>
          <w:tab w:val="left" w:pos="709" w:leader="none"/>
        </w:tabs>
        <w:ind w:left="0" w:hanging="0"/>
        <w:jc w:val="left"/>
        <w:rPr/>
      </w:pPr>
      <w:bookmarkStart w:id="2" w:name="__RefHeading___Toc47395_2069302926"/>
      <w:bookmarkEnd w:id="2"/>
      <w:r>
        <w:rPr/>
        <w:t>1.2.</w:t>
        <w:tab/>
        <w:t xml:space="preserve">Наименование закупаемой продукции </w:t>
      </w:r>
    </w:p>
    <w:p>
      <w:pPr>
        <w:pStyle w:val="BodyText"/>
        <w:jc w:val="both"/>
        <w:rPr/>
      </w:pPr>
      <w:bookmarkStart w:id="3" w:name="__DdeLink__47768_2476813843"/>
      <w:r>
        <w:rPr>
          <w:sz w:val="24"/>
          <w:szCs w:val="24"/>
          <w:lang w:eastAsia="ru-RU"/>
        </w:rPr>
        <w:t>ОКПД2 26.20.40.140  Приобретение прав на использование программного обеспечения ЛСО для нужд филиала ПАО «РусГидро»-Саратовская ГЭС»</w:t>
      </w:r>
      <w:bookmarkEnd w:id="3"/>
    </w:p>
    <w:p>
      <w:pPr>
        <w:pStyle w:val="Heading1"/>
        <w:numPr>
          <w:ilvl w:val="0"/>
          <w:numId w:val="0"/>
        </w:numPr>
        <w:tabs>
          <w:tab w:val="clear" w:pos="708"/>
          <w:tab w:val="left" w:pos="709" w:leader="none"/>
        </w:tabs>
        <w:ind w:left="0" w:hanging="0"/>
        <w:jc w:val="left"/>
        <w:rPr/>
      </w:pPr>
      <w:bookmarkStart w:id="4" w:name="__RefHeading___Toc47397_2069302926"/>
      <w:bookmarkEnd w:id="4"/>
      <w:r>
        <w:rPr/>
        <w:t>1.3.</w:t>
        <w:tab/>
        <w:t>Цель использования закупаемой продукции</w:t>
      </w:r>
    </w:p>
    <w:p>
      <w:pPr>
        <w:pStyle w:val="Normal"/>
        <w:spacing w:lineRule="exact" w:line="240"/>
        <w:ind w:firstLine="708"/>
        <w:jc w:val="both"/>
        <w:rPr/>
      </w:pPr>
      <w:r>
        <w:rPr>
          <w:sz w:val="24"/>
          <w:szCs w:val="24"/>
          <w:lang w:eastAsia="ru-RU"/>
        </w:rPr>
        <w:t xml:space="preserve">Обеспечение требуемого уровня надежности и эффективности эксплуатации основного оборудования и минимизация материального ущерба от возможных технологических нарушений . </w:t>
      </w:r>
    </w:p>
    <w:p>
      <w:pPr>
        <w:pStyle w:val="Heading2"/>
        <w:numPr>
          <w:ilvl w:val="0"/>
          <w:numId w:val="4"/>
        </w:numPr>
        <w:spacing w:before="120" w:after="120"/>
        <w:ind w:left="0" w:hanging="0"/>
        <w:jc w:val="center"/>
        <w:rPr>
          <w:rFonts w:ascii="Times New Roman" w:hAnsi="Times New Roman"/>
        </w:rPr>
      </w:pPr>
      <w:bookmarkStart w:id="5" w:name="__RefHeading___Toc138070059"/>
      <w:bookmarkEnd w:id="5"/>
      <w:r>
        <w:rPr>
          <w:rFonts w:cs="Times New Roman" w:ascii="Times New Roman" w:hAnsi="Times New Roman"/>
          <w:i w:val="false"/>
        </w:rPr>
        <w:t>Требования к продукции</w:t>
      </w:r>
    </w:p>
    <w:p>
      <w:pPr>
        <w:pStyle w:val="Heading1"/>
        <w:numPr>
          <w:ilvl w:val="1"/>
          <w:numId w:val="4"/>
        </w:numPr>
        <w:spacing w:before="120" w:after="0"/>
        <w:ind w:left="0" w:hanging="0"/>
        <w:jc w:val="left"/>
        <w:rPr/>
      </w:pPr>
      <w:bookmarkStart w:id="6" w:name="__RefHeading___Toc138070060"/>
      <w:bookmarkEnd w:id="6"/>
      <w:r>
        <w:rPr/>
        <w:t>Требования к объемам и срокам поставки</w:t>
      </w:r>
    </w:p>
    <w:p>
      <w:pPr>
        <w:pStyle w:val="Heading1"/>
        <w:numPr>
          <w:ilvl w:val="2"/>
          <w:numId w:val="4"/>
        </w:numPr>
        <w:spacing w:before="120" w:after="0"/>
        <w:ind w:left="0" w:firstLine="284"/>
        <w:jc w:val="left"/>
        <w:rPr/>
      </w:pPr>
      <w:bookmarkStart w:id="7" w:name="__RefHeading___Toc138070061"/>
      <w:bookmarkEnd w:id="7"/>
      <w:r>
        <w:rPr/>
        <w:t>Перечень и объем закупаемой продукции</w:t>
      </w:r>
    </w:p>
    <w:p>
      <w:pPr>
        <w:pStyle w:val="Heading1"/>
        <w:numPr>
          <w:ilvl w:val="0"/>
          <w:numId w:val="0"/>
        </w:numPr>
        <w:spacing w:before="120" w:after="120"/>
        <w:ind w:left="0" w:hanging="0"/>
        <w:jc w:val="left"/>
        <w:rPr/>
      </w:pPr>
      <w:bookmarkStart w:id="8" w:name="__RefHeading___Toc138070062"/>
      <w:bookmarkEnd w:id="8"/>
      <w:r>
        <w:rPr>
          <w:szCs w:val="24"/>
        </w:rPr>
        <w:t xml:space="preserve">Таблица 1 </w:t>
      </w:r>
      <w:r>
        <w:rPr/>
        <w:t>Перечень и объем закупаемой продукции</w:t>
      </w:r>
    </w:p>
    <w:tbl>
      <w:tblPr>
        <w:tblW w:w="10346" w:type="dxa"/>
        <w:jc w:val="left"/>
        <w:tblInd w:w="109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000" w:noHBand="0" w:noVBand="0" w:firstColumn="0" w:lastRow="0" w:lastColumn="0" w:firstRow="0"/>
      </w:tblPr>
      <w:tblGrid>
        <w:gridCol w:w="900"/>
        <w:gridCol w:w="6609"/>
        <w:gridCol w:w="1566"/>
        <w:gridCol w:w="1270"/>
      </w:tblGrid>
      <w:tr>
        <w:trPr>
          <w:cantSplit w:val="true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>
        <w:trPr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>
        <w:trPr>
          <w:trHeight w:val="746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на использование ПО ViPNet Prime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Компакт-диск с дистрибутивом ПО VipNet Prime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Передача права на использование ПО ViPNet PKI Client 1.x Базовая лицензия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Установочный комплект ПО ViPNet PKI Client 1.x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на использование ПО "Средство защиты информации Secret Net Studio". Максимальная защита. Для ОС Linux. Версия 8, срок 3 года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анализа защищенности «Сканер-ВС». НПЕШ.00606-01. Лицензия на 32 IP адреса на 1 год (рег. № 231)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snapToGrid w:val="false"/>
              <w:spacing w:before="0" w:after="200"/>
              <w:ind w:left="360" w:hanging="36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на использование программного комплекса "Соболь". Версия 4, сертификат ФСТЭК России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 Rutoken ЭЦП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на операционную систему специального назначения «Astra Linux Special Edition» для 64-х разрядной платформы на базе процессорной архитектуры х86-64, уровень защищенности «Усиленный» («Воронеж»), РУСБ.10015-01 (ФСТЭК), способ передачи BOX, серверная до 2 сокетов, на срок действия исключительного права, с включенными обновлениями Тип 1 на 12 мес.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на использование ПО "Средство защиты информации Secret Net Studio". Максимальная защита. Для ОС Linux. Версия 8, срок 3 года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обеспечение</w:t>
            </w:r>
            <w:r>
              <w:rPr>
                <w:sz w:val="24"/>
                <w:szCs w:val="24"/>
                <w:lang w:val="en-US"/>
              </w:rPr>
              <w:t xml:space="preserve"> MaxPatrol Security Information and Event Management. </w:t>
            </w:r>
            <w:r>
              <w:rPr>
                <w:sz w:val="24"/>
                <w:szCs w:val="24"/>
              </w:rPr>
              <w:t>Конфигурация MaxPatrol SIEM All-in-One для сбора и обработки событий не более 250 активов и не более 750 событий в секунду, обновления в течение 1 (одного) года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на операционную систему специального назначения «Astra Linux Special Edition» для 64-х разрядной платформы на базе процессорной архитектуры х86-64, уровень защищенности «Усиленный» («Воронеж»), РУСБ.10015-01 (ФСТЭК), способ передачи BOX, для рабочей станции, на срок действия исключительного права, с включенными обновлениями Тип 1 на 12 мес.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>
        <w:trPr>
          <w:trHeight w:val="301" w:hRule="atLeast"/>
          <w:cantSplit w:val="true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napToGrid w:val="false"/>
              <w:spacing w:before="0" w:after="20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на операционную систему специального назначения «Astra Linux Special Edition» для 64-х разрядной платформы на базе процессорной архитектуры х86-64, уровень защищенности «Усиленный» («Воронеж»), РУСБ.10015-01 (ФСТЭК), способ передачи BOX, серверная до 2 сокетов, на срок действия исключительного права, с включенными обновлениями Тип 1 на 12 мес.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>
      <w:pPr>
        <w:pStyle w:val="Normal"/>
        <w:spacing w:lineRule="exact" w:line="240"/>
        <w:rPr>
          <w:szCs w:val="24"/>
        </w:rPr>
      </w:pPr>
      <w:r>
        <w:rPr>
          <w:szCs w:val="24"/>
        </w:rPr>
      </w:r>
    </w:p>
    <w:p>
      <w:pPr>
        <w:pStyle w:val="Normal"/>
        <w:spacing w:lineRule="exact" w:line="240"/>
        <w:rPr>
          <w:szCs w:val="24"/>
        </w:rPr>
      </w:pPr>
      <w:r>
        <w:rPr>
          <w:szCs w:val="24"/>
        </w:rPr>
      </w:r>
    </w:p>
    <w:p>
      <w:pPr>
        <w:pStyle w:val="Heading1"/>
        <w:numPr>
          <w:ilvl w:val="0"/>
          <w:numId w:val="4"/>
        </w:numPr>
        <w:jc w:val="left"/>
        <w:rPr/>
      </w:pPr>
      <w:bookmarkStart w:id="9" w:name="__RefHeading___Toc138070063"/>
      <w:bookmarkEnd w:id="9"/>
      <w:r>
        <w:rPr/>
        <w:t>Требования к срокам поставки продукции</w:t>
      </w:r>
    </w:p>
    <w:p>
      <w:pPr>
        <w:pStyle w:val="Normal"/>
        <w:rPr/>
      </w:pPr>
      <w:r>
        <w:rPr>
          <w:szCs w:val="24"/>
        </w:rPr>
        <w:t xml:space="preserve">          </w:t>
      </w:r>
      <w:r>
        <w:rPr>
          <w:bCs/>
          <w:sz w:val="24"/>
          <w:szCs w:val="24"/>
        </w:rPr>
        <w:t>Поставка товара осуществляется единовременно.</w:t>
      </w:r>
    </w:p>
    <w:p>
      <w:pPr>
        <w:pStyle w:val="Heading1"/>
        <w:numPr>
          <w:ilvl w:val="0"/>
          <w:numId w:val="0"/>
        </w:numPr>
        <w:spacing w:before="120" w:after="120"/>
        <w:ind w:left="714" w:hanging="357"/>
        <w:jc w:val="left"/>
        <w:rPr/>
      </w:pPr>
      <w:bookmarkStart w:id="10" w:name="__RefHeading___Toc47399_2069302926"/>
      <w:bookmarkEnd w:id="10"/>
      <w:r>
        <w:rPr>
          <w:szCs w:val="24"/>
        </w:rPr>
        <w:t xml:space="preserve">Таблица 2 </w:t>
      </w:r>
      <w:bookmarkStart w:id="11" w:name="_Hlk50465284"/>
      <w:r>
        <w:rPr>
          <w:szCs w:val="24"/>
        </w:rPr>
        <w:t xml:space="preserve">Требования по срокам </w:t>
      </w:r>
      <w:bookmarkEnd w:id="11"/>
      <w:r>
        <w:rPr>
          <w:szCs w:val="24"/>
        </w:rPr>
        <w:t xml:space="preserve">поставки продукции </w:t>
      </w:r>
    </w:p>
    <w:tbl>
      <w:tblPr>
        <w:tblW w:w="1060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31"/>
        <w:gridCol w:w="4938"/>
        <w:gridCol w:w="2431"/>
        <w:gridCol w:w="2499"/>
      </w:tblGrid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</w:rPr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на использование ПО ViPNet Prime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Не позднее 31.10.2026</w:t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</w:rPr>
            </w:r>
          </w:p>
        </w:tc>
        <w:tc>
          <w:tcPr>
            <w:tcW w:w="4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Компакт-диск с дистрибутивом ПО VipNet Prime</w:t>
            </w:r>
          </w:p>
        </w:tc>
        <w:tc>
          <w:tcPr>
            <w:tcW w:w="243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4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</w:rPr>
            </w:r>
          </w:p>
        </w:tc>
        <w:tc>
          <w:tcPr>
            <w:tcW w:w="4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Передача права на использование ПО ViPNet PKI Client 1.x Базовая лицензия</w:t>
            </w:r>
          </w:p>
        </w:tc>
        <w:tc>
          <w:tcPr>
            <w:tcW w:w="243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4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</w:rPr>
            </w:r>
          </w:p>
        </w:tc>
        <w:tc>
          <w:tcPr>
            <w:tcW w:w="4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Установочный комплект ПО ViPNet PKI Client 1.x</w:t>
            </w:r>
          </w:p>
        </w:tc>
        <w:tc>
          <w:tcPr>
            <w:tcW w:w="243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4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</w:rPr>
            </w:r>
          </w:p>
        </w:tc>
        <w:tc>
          <w:tcPr>
            <w:tcW w:w="4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на использование ПО "Средство защиты информации Secret Net Studio". Максимальная защита. Для ОС Linux. Версия 8, срок 3 года</w:t>
            </w:r>
          </w:p>
        </w:tc>
        <w:tc>
          <w:tcPr>
            <w:tcW w:w="243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4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</w:rPr>
            </w:r>
          </w:p>
        </w:tc>
        <w:tc>
          <w:tcPr>
            <w:tcW w:w="4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анализа защищенности «Сканер-ВС». НПЕШ.00606-01. Лицензия на 32 IP адреса на 1 год (рег. № 231)</w:t>
            </w:r>
          </w:p>
        </w:tc>
        <w:tc>
          <w:tcPr>
            <w:tcW w:w="24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4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</w:r>
          </w:p>
        </w:tc>
        <w:tc>
          <w:tcPr>
            <w:tcW w:w="4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на использование программного комплекса "Соболь". Версия 4, сертификат ФСТЭК России</w:t>
            </w:r>
          </w:p>
        </w:tc>
        <w:tc>
          <w:tcPr>
            <w:tcW w:w="24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4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</w:r>
          </w:p>
        </w:tc>
        <w:tc>
          <w:tcPr>
            <w:tcW w:w="4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 Rutoken ЭЦП</w:t>
            </w:r>
          </w:p>
        </w:tc>
        <w:tc>
          <w:tcPr>
            <w:tcW w:w="24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4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</w:r>
          </w:p>
        </w:tc>
        <w:tc>
          <w:tcPr>
            <w:tcW w:w="4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на операционную систему специального назначения «Astra Linux Special Edition» для 64-х разрядной платформы на базе процессорной архитектуры х86-64, уровень защищенности «Усиленный» («Воронеж»), РУСБ.10015-01 (ФСТЭК), способ передачи BOX, серверная до 2 сокетов, на срок действия исключительного права, с включенными обновлениями Тип 1 на 12 мес.</w:t>
            </w:r>
          </w:p>
        </w:tc>
        <w:tc>
          <w:tcPr>
            <w:tcW w:w="24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4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</w:r>
          </w:p>
        </w:tc>
        <w:tc>
          <w:tcPr>
            <w:tcW w:w="4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на использование ПО "Средство защиты информации Secret Net Studio". Максимальная защита. Для ОС Linux. Версия 8, срок 3 года</w:t>
            </w:r>
          </w:p>
        </w:tc>
        <w:tc>
          <w:tcPr>
            <w:tcW w:w="24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4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</w:r>
          </w:p>
        </w:tc>
        <w:tc>
          <w:tcPr>
            <w:tcW w:w="4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обеспечение</w:t>
            </w:r>
            <w:r>
              <w:rPr>
                <w:sz w:val="24"/>
                <w:szCs w:val="24"/>
                <w:lang w:val="en-US"/>
              </w:rPr>
              <w:t xml:space="preserve"> MaxPatrol Security Information and Event Management. </w:t>
            </w:r>
            <w:r>
              <w:rPr>
                <w:sz w:val="24"/>
                <w:szCs w:val="24"/>
              </w:rPr>
              <w:t>Конфигурация MaxPatrol SIEM All-in-One для сбора и обработки событий не более 250 активов и не более 750 событий в секунду, обновления в течение 1 (одного) года</w:t>
            </w:r>
          </w:p>
        </w:tc>
        <w:tc>
          <w:tcPr>
            <w:tcW w:w="24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4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napToGrid w:val="false"/>
              <w:spacing w:before="0" w:after="200"/>
              <w:contextualSpacing/>
              <w:rPr>
                <w:rFonts w:ascii="Times New Roman" w:hAnsi="Times New Roman"/>
                <w:i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</w:r>
          </w:p>
        </w:tc>
        <w:tc>
          <w:tcPr>
            <w:tcW w:w="4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на операционную систему специального назначения «Astra Linux Special Edition» для 64-х разрядной платформы на базе процессорной архитектуры х86-64, уровень защищенности «Усиленный» («Воронеж»), РУСБ.10015-01 (ФСТЭК), способ передачи BOX, для рабочей станции, на срок действия исключительного права, с включенными обновлениями Тип 1 на 12 мес.</w:t>
            </w:r>
          </w:p>
        </w:tc>
        <w:tc>
          <w:tcPr>
            <w:tcW w:w="24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4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sectPr>
          <w:type w:val="nextPage"/>
          <w:pgSz w:w="11906" w:h="16838"/>
          <w:pgMar w:left="851" w:right="851" w:gutter="0" w:header="0" w:top="567" w:footer="0" w:bottom="992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2"/>
        <w:numPr>
          <w:ilvl w:val="0"/>
          <w:numId w:val="4"/>
        </w:numPr>
        <w:spacing w:before="120" w:after="120"/>
        <w:ind w:left="0" w:hanging="0"/>
        <w:rPr>
          <w:rFonts w:ascii="Times New Roman" w:hAnsi="Times New Roman"/>
        </w:rPr>
      </w:pPr>
      <w:bookmarkStart w:id="12" w:name="__RefHeading___Toc138070065"/>
      <w:bookmarkEnd w:id="12"/>
      <w:r>
        <w:rPr>
          <w:rFonts w:cs="Times New Roman" w:ascii="Times New Roman" w:hAnsi="Times New Roman"/>
          <w:i w:val="false"/>
        </w:rPr>
        <w:t>Требования к качеству продукции</w:t>
      </w:r>
    </w:p>
    <w:p>
      <w:pPr>
        <w:pStyle w:val="Heading1"/>
        <w:keepLines/>
        <w:numPr>
          <w:ilvl w:val="0"/>
          <w:numId w:val="0"/>
        </w:numPr>
        <w:spacing w:before="240" w:after="0"/>
        <w:ind w:left="0" w:hanging="0"/>
        <w:jc w:val="left"/>
        <w:rPr/>
      </w:pPr>
      <w:bookmarkStart w:id="13" w:name="__RefHeading___Toc47401_2069302926"/>
      <w:bookmarkEnd w:id="13"/>
      <w:r>
        <w:rPr>
          <w:szCs w:val="24"/>
        </w:rPr>
        <w:t xml:space="preserve">Таблица 3. Общие требования к продукции </w:t>
      </w:r>
    </w:p>
    <w:p>
      <w:pPr>
        <w:pStyle w:val="Normal"/>
        <w:spacing w:before="120" w:after="120"/>
        <w:jc w:val="both"/>
        <w:rPr/>
      </w:pPr>
      <w:r>
        <w:rPr>
          <w:b/>
          <w:bCs/>
          <w:i/>
          <w:iCs/>
          <w:sz w:val="24"/>
          <w:szCs w:val="24"/>
        </w:rPr>
        <w:t>Наименование продукции: ОКПД2 26.20.40.140  Приобретение прав на использование программного обеспечения ЛСО для нужд филиала ПАО «РусГидро»-Саратовская ГЭС»</w:t>
      </w:r>
    </w:p>
    <w:p>
      <w:pPr>
        <w:pStyle w:val="Normal"/>
        <w:spacing w:before="120" w:after="120"/>
        <w:jc w:val="both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tbl>
      <w:tblPr>
        <w:tblW w:w="1514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0"/>
        <w:gridCol w:w="2354"/>
        <w:gridCol w:w="9280"/>
        <w:gridCol w:w="2666"/>
      </w:tblGrid>
      <w:tr>
        <w:trPr>
          <w:trHeight w:val="1666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9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Требование заказчика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Cs/>
                <w:sz w:val="24"/>
                <w:szCs w:val="24"/>
              </w:rPr>
            </w:pPr>
            <w:bookmarkStart w:id="14" w:name="_Toc53499667"/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  <w:bookmarkEnd w:id="14"/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pacing w:before="0" w:after="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lang w:eastAsia="ru-RU"/>
              </w:rPr>
            </w:r>
          </w:p>
        </w:tc>
        <w:tc>
          <w:tcPr>
            <w:tcW w:w="1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Требования к закупаемой продукции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-//-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0" w:after="0"/>
              <w:ind w:left="-117" w:firstLine="142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-//-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pacing w:before="0" w:after="0"/>
              <w:ind w:left="1224" w:hanging="119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/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Место размещения рабочих мест пользователей ПК, подлежащих обновлению</w:t>
            </w:r>
          </w:p>
        </w:tc>
        <w:tc>
          <w:tcPr>
            <w:tcW w:w="9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РФ, Саратовская область, г.Балаково, Филиал ПАО  «РусГидро»- «Саратовская ГЭС»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Согласие с требованием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pacing w:before="0" w:after="0"/>
              <w:ind w:left="1224" w:hanging="1199"/>
              <w:contextualSpacing/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cs="Times New Roman" w:ascii="Times New Roman" w:hAnsi="Times New Roman"/>
                <w:lang w:val="en-US" w:eastAsia="ru-RU"/>
              </w:rPr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Иные требования к передаче прав на использование ПО</w:t>
            </w:r>
          </w:p>
        </w:tc>
        <w:tc>
          <w:tcPr>
            <w:tcW w:w="9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Передача неисключительных (пользовательских) лицензионных прав на использование  программного обеспечения должны быть оказаны в установленный настоящими ТТ сроки.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Гарантия качества предоставляется в течение 12 (двенадцати) месяцев с даты подписания Сублицензиатом и Лицензиатом акта приема-передачи права на использование ПО/ универсального передаточного документа.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Согласие с требованием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pacing w:before="0" w:after="0"/>
              <w:ind w:left="1224" w:hanging="119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lang w:eastAsia="ru-RU"/>
              </w:rPr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Результаты исполнения обязательств</w:t>
            </w:r>
          </w:p>
        </w:tc>
        <w:tc>
          <w:tcPr>
            <w:tcW w:w="9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Факт предоставления Сублицензиату (Заказчику) права на использование ПО оформляется УПД (Универсальным передаточным документом)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Согласие с требованием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0" w:after="0"/>
              <w:ind w:left="-117" w:firstLine="142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lang w:eastAsia="ru-RU"/>
              </w:rPr>
            </w:r>
          </w:p>
        </w:tc>
        <w:tc>
          <w:tcPr>
            <w:tcW w:w="1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Требования к правообладанию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-//-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pacing w:before="0" w:after="0"/>
              <w:ind w:left="1224" w:hanging="119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lang w:eastAsia="ru-RU"/>
              </w:rPr>
            </w:r>
            <w:bookmarkStart w:id="15" w:name="_GoBack"/>
            <w:bookmarkStart w:id="16" w:name="_GoBack"/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Документ, подтверждающий право на использование программ</w:t>
            </w:r>
          </w:p>
        </w:tc>
        <w:tc>
          <w:tcPr>
            <w:tcW w:w="9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Программное обеспечение должно быть разрешено к установке и эксплуатации на территории Российской Федерации. Наличие документа, подтверждающего право на использование программ.</w:t>
            </w:r>
          </w:p>
          <w:p>
            <w:pPr>
              <w:pStyle w:val="Normal"/>
              <w:widowControl w:val="false"/>
              <w:spacing w:before="60" w:after="6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Соответствие установленному требованию подтверждается путем предоставления в составе заявки Участника копии соответствующего документа (действующей договор с правообладателем на распространение прав )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bookmarkStart w:id="17" w:name="_GoBack"/>
            <w:r>
              <w:rPr>
                <w:bCs/>
                <w:sz w:val="24"/>
                <w:szCs w:val="24"/>
                <w:lang w:eastAsia="ru-RU"/>
              </w:rPr>
              <w:t>Согласие с требованием</w:t>
            </w:r>
            <w:bookmarkEnd w:id="17"/>
          </w:p>
        </w:tc>
      </w:tr>
    </w:tbl>
    <w:p>
      <w:pPr>
        <w:sectPr>
          <w:type w:val="nextPage"/>
          <w:pgSz w:orient="landscape" w:w="16838" w:h="11906"/>
          <w:pgMar w:left="992" w:right="567" w:gutter="0" w:header="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2"/>
        <w:numPr>
          <w:ilvl w:val="1"/>
          <w:numId w:val="4"/>
        </w:numPr>
        <w:spacing w:before="120" w:after="120"/>
        <w:ind w:left="0" w:hanging="0"/>
        <w:jc w:val="center"/>
        <w:rPr>
          <w:rFonts w:ascii="Times New Roman" w:hAnsi="Times New Roman"/>
        </w:rPr>
      </w:pPr>
      <w:bookmarkStart w:id="18" w:name="__RefHeading___Toc47403_2069302926"/>
      <w:bookmarkEnd w:id="18"/>
      <w:r>
        <w:rPr>
          <w:rFonts w:cs="Times New Roman" w:ascii="Times New Roman" w:hAnsi="Times New Roman"/>
          <w:i w:val="false"/>
        </w:rPr>
        <w:t>Требования к документации по ценообразованию</w:t>
      </w:r>
    </w:p>
    <w:p>
      <w:pPr>
        <w:pStyle w:val="Normal"/>
        <w:numPr>
          <w:ilvl w:val="2"/>
          <w:numId w:val="4"/>
        </w:numPr>
        <w:jc w:val="both"/>
        <w:rPr/>
      </w:pPr>
      <w:r>
        <w:rPr>
          <w:sz w:val="24"/>
          <w:szCs w:val="24"/>
        </w:rPr>
        <w:t xml:space="preserve">В обоснование стоимости своей заявки Участник предоставляет Коммерческое предложение. </w:t>
      </w:r>
    </w:p>
    <w:p>
      <w:pPr>
        <w:pStyle w:val="Normal"/>
        <w:numPr>
          <w:ilvl w:val="2"/>
          <w:numId w:val="4"/>
        </w:numPr>
        <w:jc w:val="both"/>
        <w:rPr/>
      </w:pPr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sectPr>
      <w:headerReference w:type="default" r:id="rId2"/>
      <w:footerReference w:type="default" r:id="rId3"/>
      <w:type w:val="nextPage"/>
      <w:pgSz w:w="11906" w:h="16838"/>
      <w:pgMar w:left="1276" w:right="709" w:gutter="0" w:header="0" w:top="709" w:footer="709" w:bottom="766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>
        <w:lang w:eastAsia="ru-RU"/>
      </w:rPr>
    </w:pPr>
    <w:r>
      <w:rPr>
        <w:lang w:eastAsia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pStyle w:val="Heading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pStyle w:val="Heading2"/>
      <w:numFmt w:val="decimal"/>
      <w:lvlText w:val="%1.%2."/>
      <w:lvlJc w:val="left"/>
      <w:pPr>
        <w:tabs>
          <w:tab w:val="num" w:pos="0"/>
        </w:tabs>
        <w:ind w:left="900" w:hanging="540"/>
      </w:pPr>
      <w:rPr>
        <w:b w:val="false"/>
      </w:rPr>
    </w:lvl>
    <w:lvl w:ilvl="2">
      <w:start w:val="1"/>
      <w:pStyle w:val="Heading3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pStyle w:val="Heading4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pStyle w:val="Heading5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pStyle w:val="Heading6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pStyle w:val="Heading7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pStyle w:val="Heading8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pStyle w:val="Heading9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3">
    <w:lvl w:ilvl="0">
      <w:start w:val="4"/>
      <w:numFmt w:val="bullet"/>
      <w:lvlText w:val="-"/>
      <w:lvlJc w:val="left"/>
      <w:pPr>
        <w:tabs>
          <w:tab w:val="num" w:pos="0"/>
        </w:tabs>
        <w:ind w:left="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i w:val="false"/>
        <w:b/>
        <w:iCs w:val="false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  <w:bCs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5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22"/>
  <w:displayBackgroundShape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 w:val="true"/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zh-CN" w:val="ru-RU" w:bidi="ar-SA"/>
    </w:rPr>
  </w:style>
  <w:style w:type="paragraph" w:styleId="Heading1">
    <w:name w:val="Heading 1"/>
    <w:basedOn w:val="Normal"/>
    <w:next w:val="Normal"/>
    <w:qFormat/>
    <w:pPr>
      <w:numPr>
        <w:ilvl w:val="0"/>
        <w:numId w:val="1"/>
      </w:numPr>
      <w:jc w:val="center"/>
      <w:outlineLvl w:val="0"/>
    </w:pPr>
    <w:rPr>
      <w:b/>
      <w:sz w:val="24"/>
      <w:szCs w:val="20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keepLines/>
      <w:numPr>
        <w:ilvl w:val="5"/>
        <w:numId w:val="1"/>
      </w:numPr>
      <w:spacing w:before="200" w:after="0"/>
      <w:outlineLvl w:val="5"/>
    </w:pPr>
    <w:rPr>
      <w:rFonts w:ascii="Cambria" w:hAnsi="Cambria" w:cs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qFormat/>
    <w:pPr>
      <w:keepLines/>
      <w:numPr>
        <w:ilvl w:val="6"/>
        <w:numId w:val="1"/>
      </w:numPr>
      <w:spacing w:before="200" w:after="0"/>
      <w:outlineLvl w:val="6"/>
    </w:pPr>
    <w:rPr>
      <w:rFonts w:ascii="Cambria" w:hAnsi="Cambria" w:cs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qFormat/>
    <w:pPr>
      <w:keepLines/>
      <w:numPr>
        <w:ilvl w:val="7"/>
        <w:numId w:val="1"/>
      </w:numPr>
      <w:spacing w:before="200" w:after="0"/>
      <w:outlineLvl w:val="7"/>
    </w:pPr>
    <w:rPr>
      <w:rFonts w:ascii="Cambria" w:hAnsi="Cambria" w:cs="Cambria"/>
      <w:color w:val="4F81BD"/>
      <w:sz w:val="20"/>
      <w:szCs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1" w:customStyle="1">
    <w:name w:val="WW8Num1z1"/>
    <w:qFormat/>
    <w:rPr>
      <w:b w:val="false"/>
    </w:rPr>
  </w:style>
  <w:style w:type="character" w:styleId="WW8Num3z0" w:customStyle="1">
    <w:name w:val="WW8Num3z0"/>
    <w:qFormat/>
    <w:rPr>
      <w:rFonts w:ascii="Times New Roman" w:hAnsi="Times New Roman" w:cs="Times New Roman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3z3" w:customStyle="1">
    <w:name w:val="WW8Num3z3"/>
    <w:qFormat/>
    <w:rPr>
      <w:rFonts w:ascii="Symbol" w:hAnsi="Symbol" w:cs="Symbol"/>
    </w:rPr>
  </w:style>
  <w:style w:type="character" w:styleId="WW8Num4z0" w:customStyle="1">
    <w:name w:val="WW8Num4z0"/>
    <w:qFormat/>
    <w:rPr>
      <w:b/>
      <w:bCs w:val="false"/>
      <w:sz w:val="24"/>
      <w:szCs w:val="24"/>
    </w:rPr>
  </w:style>
  <w:style w:type="character" w:styleId="WW8Num4z1" w:customStyle="1">
    <w:name w:val="WW8Num4z1"/>
    <w:qFormat/>
    <w:rPr>
      <w:b w:val="false"/>
      <w:bCs/>
      <w:sz w:val="24"/>
      <w:szCs w:val="24"/>
    </w:rPr>
  </w:style>
  <w:style w:type="character" w:styleId="WW8Num4z2" w:customStyle="1">
    <w:name w:val="WW8Num4z2"/>
    <w:qFormat/>
    <w:rPr>
      <w:sz w:val="24"/>
      <w:szCs w:val="24"/>
    </w:rPr>
  </w:style>
  <w:style w:type="character" w:styleId="WW8Num5z0" w:customStyle="1">
    <w:name w:val="WW8Num5z0"/>
    <w:qFormat/>
    <w:rPr>
      <w:b/>
      <w:bCs/>
    </w:rPr>
  </w:style>
  <w:style w:type="character" w:styleId="WW8Num6z0" w:customStyle="1">
    <w:name w:val="WW8Num6z0"/>
    <w:qFormat/>
    <w:rPr>
      <w:i w:val="false"/>
    </w:rPr>
  </w:style>
  <w:style w:type="character" w:styleId="WW8Num1z0" w:customStyle="1">
    <w:name w:val="WW8Num1z0"/>
    <w:qFormat/>
    <w:rPr/>
  </w:style>
  <w:style w:type="character" w:styleId="WW8Num2z0" w:customStyle="1">
    <w:name w:val="WW8Num2z0"/>
    <w:qFormat/>
    <w:rPr/>
  </w:style>
  <w:style w:type="character" w:styleId="WW8Num7z0" w:customStyle="1">
    <w:name w:val="WW8Num7z0"/>
    <w:qFormat/>
    <w:rPr>
      <w:i w:val="false"/>
    </w:rPr>
  </w:style>
  <w:style w:type="character" w:styleId="WW8Num10z0" w:customStyle="1">
    <w:name w:val="WW8Num10z0"/>
    <w:qFormat/>
    <w:rPr>
      <w:rFonts w:ascii="Symbol" w:hAnsi="Symbol" w:cs="Symbol"/>
    </w:rPr>
  </w:style>
  <w:style w:type="character" w:styleId="WW8Num10z1" w:customStyle="1">
    <w:name w:val="WW8Num10z1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2z1" w:customStyle="1">
    <w:name w:val="WW8Num2z1"/>
    <w:qFormat/>
    <w:rPr>
      <w:rFonts w:ascii="Courier New" w:hAnsi="Courier New" w:cs="Courier New"/>
      <w:sz w:val="20"/>
    </w:rPr>
  </w:style>
  <w:style w:type="character" w:styleId="WW8Num2z2" w:customStyle="1">
    <w:name w:val="WW8Num2z2"/>
    <w:qFormat/>
    <w:rPr>
      <w:rFonts w:ascii="Wingdings" w:hAnsi="Wingdings" w:cs="Wingdings"/>
      <w:sz w:val="20"/>
    </w:rPr>
  </w:style>
  <w:style w:type="character" w:styleId="WW8Num8z0" w:customStyle="1">
    <w:name w:val="WW8Num8z0"/>
    <w:qFormat/>
    <w:rPr>
      <w:rFonts w:eastAsia="Times New Roman"/>
      <w:b/>
      <w:bCs/>
    </w:rPr>
  </w:style>
  <w:style w:type="character" w:styleId="WW8Num8z1" w:customStyle="1">
    <w:name w:val="WW8Num8z1"/>
    <w:qFormat/>
    <w:rPr/>
  </w:style>
  <w:style w:type="character" w:styleId="WW8Num9z0" w:customStyle="1">
    <w:name w:val="WW8Num9z0"/>
    <w:qFormat/>
    <w:rPr>
      <w:rFonts w:ascii="Times New Roman" w:hAnsi="Times New Roman" w:cs="Times New Roman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WW8Num9z3" w:customStyle="1">
    <w:name w:val="WW8Num9z3"/>
    <w:qFormat/>
    <w:rPr>
      <w:rFonts w:ascii="Symbol" w:hAnsi="Symbol" w:cs="Symbol"/>
    </w:rPr>
  </w:style>
  <w:style w:type="character" w:styleId="WW8Num11z0" w:customStyle="1">
    <w:name w:val="WW8Num11z0"/>
    <w:qFormat/>
    <w:rPr>
      <w:b w:val="false"/>
      <w:i w:val="false"/>
    </w:rPr>
  </w:style>
  <w:style w:type="character" w:styleId="WW8Num12z0" w:customStyle="1">
    <w:name w:val="WW8Num12z0"/>
    <w:qFormat/>
    <w:rPr/>
  </w:style>
  <w:style w:type="character" w:styleId="WW8Num14z0" w:customStyle="1">
    <w:name w:val="WW8Num14z0"/>
    <w:qFormat/>
    <w:rPr>
      <w:rFonts w:ascii="Symbol" w:hAnsi="Symbol" w:cs="Symbol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4z2" w:customStyle="1">
    <w:name w:val="WW8Num14z2"/>
    <w:qFormat/>
    <w:rPr>
      <w:rFonts w:ascii="Wingdings" w:hAnsi="Wingdings" w:cs="Wingdings"/>
    </w:rPr>
  </w:style>
  <w:style w:type="character" w:styleId="WW8Num15z0" w:customStyle="1">
    <w:name w:val="WW8Num15z0"/>
    <w:qFormat/>
    <w:rPr>
      <w:b/>
      <w:bCs w:val="false"/>
      <w:sz w:val="24"/>
      <w:szCs w:val="24"/>
    </w:rPr>
  </w:style>
  <w:style w:type="character" w:styleId="WW8Num15z1" w:customStyle="1">
    <w:name w:val="WW8Num15z1"/>
    <w:qFormat/>
    <w:rPr>
      <w:b w:val="false"/>
      <w:bCs/>
      <w:sz w:val="24"/>
      <w:szCs w:val="24"/>
    </w:rPr>
  </w:style>
  <w:style w:type="character" w:styleId="WW8Num15z2" w:customStyle="1">
    <w:name w:val="WW8Num15z2"/>
    <w:qFormat/>
    <w:rPr>
      <w:sz w:val="24"/>
      <w:szCs w:val="24"/>
    </w:rPr>
  </w:style>
  <w:style w:type="character" w:styleId="WW8Num16z0" w:customStyle="1">
    <w:name w:val="WW8Num16z0"/>
    <w:qFormat/>
    <w:rPr/>
  </w:style>
  <w:style w:type="character" w:styleId="WW8Num17z0" w:customStyle="1">
    <w:name w:val="WW8Num17z0"/>
    <w:qFormat/>
    <w:rPr/>
  </w:style>
  <w:style w:type="character" w:styleId="WW8Num18z0" w:customStyle="1">
    <w:name w:val="WW8Num18z0"/>
    <w:qFormat/>
    <w:rPr/>
  </w:style>
  <w:style w:type="character" w:styleId="WW8Num20z0" w:customStyle="1">
    <w:name w:val="WW8Num20z0"/>
    <w:qFormat/>
    <w:rPr>
      <w:i w:val="false"/>
    </w:rPr>
  </w:style>
  <w:style w:type="character" w:styleId="WW8Num22z0" w:customStyle="1">
    <w:name w:val="WW8Num22z0"/>
    <w:qFormat/>
    <w:rPr/>
  </w:style>
  <w:style w:type="character" w:styleId="WW8Num23z0" w:customStyle="1">
    <w:name w:val="WW8Num23z0"/>
    <w:qFormat/>
    <w:rPr/>
  </w:style>
  <w:style w:type="character" w:styleId="WW8Num24z0" w:customStyle="1">
    <w:name w:val="WW8Num24z0"/>
    <w:qFormat/>
    <w:rPr>
      <w:rFonts w:ascii="Symbol" w:hAnsi="Symbol" w:cs="Symbol"/>
      <w:sz w:val="20"/>
    </w:rPr>
  </w:style>
  <w:style w:type="character" w:styleId="WW8Num24z1" w:customStyle="1">
    <w:name w:val="WW8Num24z1"/>
    <w:qFormat/>
    <w:rPr>
      <w:rFonts w:ascii="Courier New" w:hAnsi="Courier New" w:cs="Courier New"/>
      <w:sz w:val="20"/>
    </w:rPr>
  </w:style>
  <w:style w:type="character" w:styleId="WW8Num24z2" w:customStyle="1">
    <w:name w:val="WW8Num24z2"/>
    <w:qFormat/>
    <w:rPr>
      <w:rFonts w:ascii="Wingdings" w:hAnsi="Wingdings" w:cs="Wingdings"/>
      <w:sz w:val="20"/>
    </w:rPr>
  </w:style>
  <w:style w:type="character" w:styleId="WW8Num25z0" w:customStyle="1">
    <w:name w:val="WW8Num25z0"/>
    <w:qFormat/>
    <w:rPr>
      <w:i w:val="false"/>
    </w:rPr>
  </w:style>
  <w:style w:type="character" w:styleId="WW8Num26z0" w:customStyle="1">
    <w:name w:val="WW8Num26z0"/>
    <w:qFormat/>
    <w:rPr>
      <w:b/>
      <w:sz w:val="28"/>
    </w:rPr>
  </w:style>
  <w:style w:type="character" w:styleId="WW8Num29z0" w:customStyle="1">
    <w:name w:val="WW8Num29z0"/>
    <w:qFormat/>
    <w:rPr>
      <w:rFonts w:ascii="Symbol" w:hAnsi="Symbol" w:cs="Symbol"/>
      <w:sz w:val="20"/>
    </w:rPr>
  </w:style>
  <w:style w:type="character" w:styleId="WW8Num29z1" w:customStyle="1">
    <w:name w:val="WW8Num29z1"/>
    <w:qFormat/>
    <w:rPr>
      <w:rFonts w:ascii="Courier New" w:hAnsi="Courier New" w:cs="Courier New"/>
      <w:sz w:val="20"/>
    </w:rPr>
  </w:style>
  <w:style w:type="character" w:styleId="WW8Num29z2" w:customStyle="1">
    <w:name w:val="WW8Num29z2"/>
    <w:qFormat/>
    <w:rPr>
      <w:rFonts w:ascii="Wingdings" w:hAnsi="Wingdings" w:cs="Wingdings"/>
      <w:sz w:val="20"/>
    </w:rPr>
  </w:style>
  <w:style w:type="character" w:styleId="WW8Num30z0" w:customStyle="1">
    <w:name w:val="WW8Num30z0"/>
    <w:qFormat/>
    <w:rPr/>
  </w:style>
  <w:style w:type="character" w:styleId="WW8Num32z0" w:customStyle="1">
    <w:name w:val="WW8Num32z0"/>
    <w:qFormat/>
    <w:rPr>
      <w:rFonts w:ascii="Times New Roman" w:hAnsi="Times New Roman" w:eastAsia="Times New Roman" w:cs="Times New Roman"/>
    </w:rPr>
  </w:style>
  <w:style w:type="character" w:styleId="WW8Num32z1" w:customStyle="1">
    <w:name w:val="WW8Num32z1"/>
    <w:qFormat/>
    <w:rPr>
      <w:rFonts w:ascii="Courier New" w:hAnsi="Courier New" w:cs="Courier New"/>
    </w:rPr>
  </w:style>
  <w:style w:type="character" w:styleId="WW8Num32z2" w:customStyle="1">
    <w:name w:val="WW8Num32z2"/>
    <w:qFormat/>
    <w:rPr>
      <w:rFonts w:ascii="Wingdings" w:hAnsi="Wingdings" w:cs="Wingdings"/>
    </w:rPr>
  </w:style>
  <w:style w:type="character" w:styleId="WW8Num32z3" w:customStyle="1">
    <w:name w:val="WW8Num32z3"/>
    <w:qFormat/>
    <w:rPr>
      <w:rFonts w:ascii="Symbol" w:hAnsi="Symbol" w:cs="Symbol"/>
    </w:rPr>
  </w:style>
  <w:style w:type="character" w:styleId="3" w:customStyle="1">
    <w:name w:val="Основной шрифт абзаца3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10z3" w:customStyle="1">
    <w:name w:val="WW8Num10z3"/>
    <w:qFormat/>
    <w:rPr>
      <w:rFonts w:ascii="Symbol" w:hAnsi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2" w:customStyle="1">
    <w:name w:val="Основной шрифт абзаца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2" w:customStyle="1">
    <w:name w:val="WW8Num5z2"/>
    <w:qFormat/>
    <w:rPr>
      <w:rFonts w:ascii="Wingdings" w:hAnsi="Wingdings" w:cs="Wingdings"/>
    </w:rPr>
  </w:style>
  <w:style w:type="character" w:styleId="WW8Num6z1" w:customStyle="1">
    <w:name w:val="WW8Num6z1"/>
    <w:qFormat/>
    <w:rPr>
      <w:rFonts w:ascii="Courier New" w:hAnsi="Courier New" w:cs="Courier New"/>
      <w:sz w:val="20"/>
    </w:rPr>
  </w:style>
  <w:style w:type="character" w:styleId="WW8Num6z2" w:customStyle="1">
    <w:name w:val="WW8Num6z2"/>
    <w:qFormat/>
    <w:rPr>
      <w:rFonts w:ascii="Wingdings" w:hAnsi="Wingdings" w:cs="Wingdings"/>
      <w:sz w:val="20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8z2" w:customStyle="1">
    <w:name w:val="WW8Num8z2"/>
    <w:qFormat/>
    <w:rPr>
      <w:rFonts w:ascii="Wingdings" w:hAnsi="Wingdings" w:cs="Wingdings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2" w:customStyle="1">
    <w:name w:val="WW8Num12z2"/>
    <w:qFormat/>
    <w:rPr>
      <w:rFonts w:ascii="Wingdings" w:hAnsi="Wingdings" w:cs="Wingdings"/>
    </w:rPr>
  </w:style>
  <w:style w:type="character" w:styleId="WW8Num13z0" w:customStyle="1">
    <w:name w:val="WW8Num13z0"/>
    <w:qFormat/>
    <w:rPr>
      <w:b w:val="false"/>
      <w:sz w:val="26"/>
    </w:rPr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Symbol" w:hAnsi="Symbol" w:cs="Symbol"/>
    </w:rPr>
  </w:style>
  <w:style w:type="character" w:styleId="WW8Num19z1" w:customStyle="1">
    <w:name w:val="WW8Num19z1"/>
    <w:qFormat/>
    <w:rPr>
      <w:rFonts w:ascii="Courier New" w:hAnsi="Courier New" w:cs="Courier New"/>
    </w:rPr>
  </w:style>
  <w:style w:type="character" w:styleId="WW8Num19z2" w:customStyle="1">
    <w:name w:val="WW8Num19z2"/>
    <w:qFormat/>
    <w:rPr>
      <w:rFonts w:ascii="Wingdings" w:hAnsi="Wingdings" w:cs="Wingdings"/>
    </w:rPr>
  </w:style>
  <w:style w:type="character" w:styleId="WW8Num20z1" w:customStyle="1">
    <w:name w:val="WW8Num20z1"/>
    <w:qFormat/>
    <w:rPr>
      <w:rFonts w:ascii="Courier New" w:hAnsi="Courier New" w:cs="Courier New"/>
    </w:rPr>
  </w:style>
  <w:style w:type="character" w:styleId="WW8Num20z2" w:customStyle="1">
    <w:name w:val="WW8Num20z2"/>
    <w:qFormat/>
    <w:rPr>
      <w:rFonts w:ascii="Wingdings" w:hAnsi="Wingdings" w:cs="Wingdings"/>
    </w:rPr>
  </w:style>
  <w:style w:type="character" w:styleId="WW8Num21z0" w:customStyle="1">
    <w:name w:val="WW8Num21z0"/>
    <w:qFormat/>
    <w:rPr/>
  </w:style>
  <w:style w:type="character" w:styleId="WW8Num21z1" w:customStyle="1">
    <w:name w:val="WW8Num21z1"/>
    <w:qFormat/>
    <w:rPr/>
  </w:style>
  <w:style w:type="character" w:styleId="WW8Num21z2" w:customStyle="1">
    <w:name w:val="WW8Num21z2"/>
    <w:qFormat/>
    <w:rPr/>
  </w:style>
  <w:style w:type="character" w:styleId="WW8Num21z3" w:customStyle="1">
    <w:name w:val="WW8Num21z3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22z1" w:customStyle="1">
    <w:name w:val="WW8Num22z1"/>
    <w:qFormat/>
    <w:rPr>
      <w:rFonts w:ascii="Courier New" w:hAnsi="Courier New" w:cs="Courier New"/>
    </w:rPr>
  </w:style>
  <w:style w:type="character" w:styleId="WW8Num22z2" w:customStyle="1">
    <w:name w:val="WW8Num22z2"/>
    <w:qFormat/>
    <w:rPr>
      <w:rFonts w:ascii="Wingdings" w:hAnsi="Wingdings" w:cs="Wingdings"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2" w:customStyle="1">
    <w:name w:val="WW8Num23z2"/>
    <w:qFormat/>
    <w:rPr>
      <w:rFonts w:ascii="Wingdings" w:hAnsi="Wingdings" w:cs="Wingdings"/>
    </w:rPr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WW8Num26z1" w:customStyle="1">
    <w:name w:val="WW8Num26z1"/>
    <w:qFormat/>
    <w:rPr/>
  </w:style>
  <w:style w:type="character" w:styleId="WW8Num26z2" w:customStyle="1">
    <w:name w:val="WW8Num26z2"/>
    <w:qFormat/>
    <w:rPr/>
  </w:style>
  <w:style w:type="character" w:styleId="WW8Num26z3" w:customStyle="1">
    <w:name w:val="WW8Num26z3"/>
    <w:qFormat/>
    <w:rPr/>
  </w:style>
  <w:style w:type="character" w:styleId="WW8Num26z4" w:customStyle="1">
    <w:name w:val="WW8Num26z4"/>
    <w:qFormat/>
    <w:rPr/>
  </w:style>
  <w:style w:type="character" w:styleId="WW8Num26z5" w:customStyle="1">
    <w:name w:val="WW8Num26z5"/>
    <w:qFormat/>
    <w:rPr/>
  </w:style>
  <w:style w:type="character" w:styleId="WW8Num26z6" w:customStyle="1">
    <w:name w:val="WW8Num26z6"/>
    <w:qFormat/>
    <w:rPr/>
  </w:style>
  <w:style w:type="character" w:styleId="WW8Num26z7" w:customStyle="1">
    <w:name w:val="WW8Num26z7"/>
    <w:qFormat/>
    <w:rPr/>
  </w:style>
  <w:style w:type="character" w:styleId="WW8Num26z8" w:customStyle="1">
    <w:name w:val="WW8Num26z8"/>
    <w:qFormat/>
    <w:rPr/>
  </w:style>
  <w:style w:type="character" w:styleId="WW8Num27z0" w:customStyle="1">
    <w:name w:val="WW8Num27z0"/>
    <w:qFormat/>
    <w:rPr>
      <w:rFonts w:ascii="Symbol" w:hAnsi="Symbol" w:cs="Symbol"/>
    </w:rPr>
  </w:style>
  <w:style w:type="character" w:styleId="WW8Num27z1" w:customStyle="1">
    <w:name w:val="WW8Num27z1"/>
    <w:qFormat/>
    <w:rPr>
      <w:rFonts w:ascii="Courier New" w:hAnsi="Courier New" w:cs="Courier New"/>
    </w:rPr>
  </w:style>
  <w:style w:type="character" w:styleId="WW8Num27z2" w:customStyle="1">
    <w:name w:val="WW8Num27z2"/>
    <w:qFormat/>
    <w:rPr>
      <w:rFonts w:ascii="Wingdings" w:hAnsi="Wingdings" w:cs="Wingdings"/>
    </w:rPr>
  </w:style>
  <w:style w:type="character" w:styleId="WW8Num28z0" w:customStyle="1">
    <w:name w:val="WW8Num28z0"/>
    <w:qFormat/>
    <w:rPr>
      <w:rFonts w:ascii="Symbol" w:hAnsi="Symbol" w:cs="Symbol"/>
    </w:rPr>
  </w:style>
  <w:style w:type="character" w:styleId="WW8Num28z1" w:customStyle="1">
    <w:name w:val="WW8Num28z1"/>
    <w:qFormat/>
    <w:rPr>
      <w:rFonts w:ascii="Courier New" w:hAnsi="Courier New" w:cs="Courier New"/>
    </w:rPr>
  </w:style>
  <w:style w:type="character" w:styleId="WW8Num28z2" w:customStyle="1">
    <w:name w:val="WW8Num28z2"/>
    <w:qFormat/>
    <w:rPr>
      <w:rFonts w:ascii="Wingdings" w:hAnsi="Wingdings" w:cs="Wingdings"/>
    </w:rPr>
  </w:style>
  <w:style w:type="character" w:styleId="WW8Num30z1" w:customStyle="1">
    <w:name w:val="WW8Num30z1"/>
    <w:qFormat/>
    <w:rPr>
      <w:b w:val="false"/>
    </w:rPr>
  </w:style>
  <w:style w:type="character" w:styleId="WW8Num31z0" w:customStyle="1">
    <w:name w:val="WW8Num31z0"/>
    <w:qFormat/>
    <w:rPr>
      <w:rFonts w:ascii="Courier New" w:hAnsi="Courier New" w:cs="Times New Roman"/>
    </w:rPr>
  </w:style>
  <w:style w:type="character" w:styleId="WW8Num31z2" w:customStyle="1">
    <w:name w:val="WW8Num31z2"/>
    <w:qFormat/>
    <w:rPr>
      <w:rFonts w:ascii="Wingdings" w:hAnsi="Wingdings" w:cs="Wingdings"/>
    </w:rPr>
  </w:style>
  <w:style w:type="character" w:styleId="WW8Num31z3" w:customStyle="1">
    <w:name w:val="WW8Num31z3"/>
    <w:qFormat/>
    <w:rPr>
      <w:rFonts w:ascii="Symbol" w:hAnsi="Symbol" w:cs="Symbol"/>
    </w:rPr>
  </w:style>
  <w:style w:type="character" w:styleId="WW8Num32z4" w:customStyle="1">
    <w:name w:val="WW8Num32z4"/>
    <w:qFormat/>
    <w:rPr/>
  </w:style>
  <w:style w:type="character" w:styleId="WW8Num32z5" w:customStyle="1">
    <w:name w:val="WW8Num32z5"/>
    <w:qFormat/>
    <w:rPr/>
  </w:style>
  <w:style w:type="character" w:styleId="WW8Num32z6" w:customStyle="1">
    <w:name w:val="WW8Num32z6"/>
    <w:qFormat/>
    <w:rPr/>
  </w:style>
  <w:style w:type="character" w:styleId="WW8Num32z7" w:customStyle="1">
    <w:name w:val="WW8Num32z7"/>
    <w:qFormat/>
    <w:rPr/>
  </w:style>
  <w:style w:type="character" w:styleId="WW8Num32z8" w:customStyle="1">
    <w:name w:val="WW8Num32z8"/>
    <w:qFormat/>
    <w:rPr/>
  </w:style>
  <w:style w:type="character" w:styleId="WW8Num33z0" w:customStyle="1">
    <w:name w:val="WW8Num33z0"/>
    <w:qFormat/>
    <w:rPr>
      <w:rFonts w:ascii="Symbol" w:hAnsi="Symbol" w:cs="Symbol"/>
    </w:rPr>
  </w:style>
  <w:style w:type="character" w:styleId="WW8Num33z1" w:customStyle="1">
    <w:name w:val="WW8Num33z1"/>
    <w:qFormat/>
    <w:rPr>
      <w:rFonts w:ascii="Courier New" w:hAnsi="Courier New" w:cs="Courier New"/>
    </w:rPr>
  </w:style>
  <w:style w:type="character" w:styleId="WW8Num33z2" w:customStyle="1">
    <w:name w:val="WW8Num33z2"/>
    <w:qFormat/>
    <w:rPr>
      <w:rFonts w:ascii="Wingdings" w:hAnsi="Wingdings" w:cs="Wingdings"/>
    </w:rPr>
  </w:style>
  <w:style w:type="character" w:styleId="WW8Num34z0" w:customStyle="1">
    <w:name w:val="WW8Num34z0"/>
    <w:qFormat/>
    <w:rPr>
      <w:rFonts w:ascii="Symbol" w:hAnsi="Symbol" w:cs="Symbol"/>
    </w:rPr>
  </w:style>
  <w:style w:type="character" w:styleId="WW8Num34z1" w:customStyle="1">
    <w:name w:val="WW8Num34z1"/>
    <w:qFormat/>
    <w:rPr>
      <w:rFonts w:ascii="Courier New" w:hAnsi="Courier New" w:cs="Courier New"/>
    </w:rPr>
  </w:style>
  <w:style w:type="character" w:styleId="WW8Num34z2" w:customStyle="1">
    <w:name w:val="WW8Num34z2"/>
    <w:qFormat/>
    <w:rPr>
      <w:rFonts w:ascii="Wingdings" w:hAnsi="Wingdings" w:cs="Wingdings"/>
    </w:rPr>
  </w:style>
  <w:style w:type="character" w:styleId="WW8Num35z0" w:customStyle="1">
    <w:name w:val="WW8Num35z0"/>
    <w:qFormat/>
    <w:rPr>
      <w:rFonts w:ascii="Courier New" w:hAnsi="Courier New" w:cs="Times New Roman"/>
    </w:rPr>
  </w:style>
  <w:style w:type="character" w:styleId="WW8Num35z1" w:customStyle="1">
    <w:name w:val="WW8Num35z1"/>
    <w:qFormat/>
    <w:rPr>
      <w:rFonts w:ascii="Symbol" w:hAnsi="Symbol" w:eastAsia="Times New Roman" w:cs="Symbol"/>
    </w:rPr>
  </w:style>
  <w:style w:type="character" w:styleId="WW8Num35z2" w:customStyle="1">
    <w:name w:val="WW8Num35z2"/>
    <w:qFormat/>
    <w:rPr>
      <w:rFonts w:ascii="Wingdings" w:hAnsi="Wingdings" w:cs="Wingdings"/>
    </w:rPr>
  </w:style>
  <w:style w:type="character" w:styleId="WW8Num35z3" w:customStyle="1">
    <w:name w:val="WW8Num35z3"/>
    <w:qFormat/>
    <w:rPr>
      <w:rFonts w:ascii="Symbol" w:hAnsi="Symbol" w:cs="Symbol"/>
    </w:rPr>
  </w:style>
  <w:style w:type="character" w:styleId="WW8Num36z0" w:customStyle="1">
    <w:name w:val="WW8Num36z0"/>
    <w:qFormat/>
    <w:rPr>
      <w:rFonts w:ascii="Times New Roman" w:hAnsi="Times New Roman" w:eastAsia="Times New Roman" w:cs="Times New Roman"/>
    </w:rPr>
  </w:style>
  <w:style w:type="character" w:styleId="WW8Num36z1" w:customStyle="1">
    <w:name w:val="WW8Num36z1"/>
    <w:qFormat/>
    <w:rPr>
      <w:rFonts w:ascii="Courier New" w:hAnsi="Courier New" w:cs="Courier New"/>
    </w:rPr>
  </w:style>
  <w:style w:type="character" w:styleId="WW8Num36z2" w:customStyle="1">
    <w:name w:val="WW8Num36z2"/>
    <w:qFormat/>
    <w:rPr>
      <w:rFonts w:ascii="Wingdings" w:hAnsi="Wingdings" w:cs="Wingdings"/>
    </w:rPr>
  </w:style>
  <w:style w:type="character" w:styleId="WW8Num36z3" w:customStyle="1">
    <w:name w:val="WW8Num36z3"/>
    <w:qFormat/>
    <w:rPr>
      <w:rFonts w:ascii="Symbol" w:hAnsi="Symbol" w:cs="Symbol"/>
    </w:rPr>
  </w:style>
  <w:style w:type="character" w:styleId="WW8Num37z0" w:customStyle="1">
    <w:name w:val="WW8Num37z0"/>
    <w:qFormat/>
    <w:rPr>
      <w:rFonts w:ascii="Symbol" w:hAnsi="Symbol" w:cs="Symbol"/>
    </w:rPr>
  </w:style>
  <w:style w:type="character" w:styleId="WW8Num37z1" w:customStyle="1">
    <w:name w:val="WW8Num37z1"/>
    <w:qFormat/>
    <w:rPr>
      <w:rFonts w:ascii="Courier New" w:hAnsi="Courier New" w:cs="Courier New"/>
    </w:rPr>
  </w:style>
  <w:style w:type="character" w:styleId="WW8Num37z2" w:customStyle="1">
    <w:name w:val="WW8Num37z2"/>
    <w:qFormat/>
    <w:rPr>
      <w:rFonts w:ascii="Wingdings" w:hAnsi="Wingdings" w:cs="Wingdings"/>
    </w:rPr>
  </w:style>
  <w:style w:type="character" w:styleId="WW8Num38z0" w:customStyle="1">
    <w:name w:val="WW8Num38z0"/>
    <w:qFormat/>
    <w:rPr>
      <w:b/>
    </w:rPr>
  </w:style>
  <w:style w:type="character" w:styleId="WW8Num38z1" w:customStyle="1">
    <w:name w:val="WW8Num38z1"/>
    <w:qFormat/>
    <w:rPr>
      <w:b w:val="false"/>
      <w:i w:val="false"/>
    </w:rPr>
  </w:style>
  <w:style w:type="character" w:styleId="WW8Num38z2" w:customStyle="1">
    <w:name w:val="WW8Num38z2"/>
    <w:qFormat/>
    <w:rPr/>
  </w:style>
  <w:style w:type="character" w:styleId="WW8Num39z0" w:customStyle="1">
    <w:name w:val="WW8Num39z0"/>
    <w:qFormat/>
    <w:rPr>
      <w:rFonts w:ascii="Symbol" w:hAnsi="Symbol" w:cs="Symbol"/>
    </w:rPr>
  </w:style>
  <w:style w:type="character" w:styleId="WW8Num39z1" w:customStyle="1">
    <w:name w:val="WW8Num39z1"/>
    <w:qFormat/>
    <w:rPr>
      <w:rFonts w:ascii="Courier New" w:hAnsi="Courier New" w:cs="Courier New"/>
    </w:rPr>
  </w:style>
  <w:style w:type="character" w:styleId="WW8Num39z2" w:customStyle="1">
    <w:name w:val="WW8Num39z2"/>
    <w:qFormat/>
    <w:rPr>
      <w:rFonts w:ascii="Wingdings" w:hAnsi="Wingdings" w:cs="Wingdings"/>
    </w:rPr>
  </w:style>
  <w:style w:type="character" w:styleId="WW8Num40z0" w:customStyle="1">
    <w:name w:val="WW8Num40z0"/>
    <w:qFormat/>
    <w:rPr/>
  </w:style>
  <w:style w:type="character" w:styleId="WW8Num40z1" w:customStyle="1">
    <w:name w:val="WW8Num40z1"/>
    <w:qFormat/>
    <w:rPr>
      <w:i w:val="false"/>
      <w:sz w:val="22"/>
      <w:szCs w:val="22"/>
    </w:rPr>
  </w:style>
  <w:style w:type="character" w:styleId="WW8Num41z0" w:customStyle="1">
    <w:name w:val="WW8Num41z0"/>
    <w:qFormat/>
    <w:rPr>
      <w:rFonts w:ascii="Symbol" w:hAnsi="Symbol" w:cs="Symbol"/>
    </w:rPr>
  </w:style>
  <w:style w:type="character" w:styleId="WW8Num41z1" w:customStyle="1">
    <w:name w:val="WW8Num41z1"/>
    <w:qFormat/>
    <w:rPr>
      <w:rFonts w:ascii="Courier New" w:hAnsi="Courier New" w:cs="Courier New"/>
    </w:rPr>
  </w:style>
  <w:style w:type="character" w:styleId="WW8Num41z2" w:customStyle="1">
    <w:name w:val="WW8Num41z2"/>
    <w:qFormat/>
    <w:rPr>
      <w:rFonts w:ascii="Wingdings" w:hAnsi="Wingdings" w:cs="Wingdings"/>
    </w:rPr>
  </w:style>
  <w:style w:type="character" w:styleId="WW8Num42z0" w:customStyle="1">
    <w:name w:val="WW8Num42z0"/>
    <w:qFormat/>
    <w:rPr>
      <w:b/>
    </w:rPr>
  </w:style>
  <w:style w:type="character" w:styleId="WW8Num42z1" w:customStyle="1">
    <w:name w:val="WW8Num42z1"/>
    <w:qFormat/>
    <w:rPr>
      <w:b w:val="false"/>
      <w:i w:val="false"/>
    </w:rPr>
  </w:style>
  <w:style w:type="character" w:styleId="WW8Num42z2" w:customStyle="1">
    <w:name w:val="WW8Num42z2"/>
    <w:qFormat/>
    <w:rPr/>
  </w:style>
  <w:style w:type="character" w:styleId="WW8Num43z0" w:customStyle="1">
    <w:name w:val="WW8Num43z0"/>
    <w:qFormat/>
    <w:rPr/>
  </w:style>
  <w:style w:type="character" w:styleId="WW8Num44z0" w:customStyle="1">
    <w:name w:val="WW8Num44z0"/>
    <w:qFormat/>
    <w:rPr/>
  </w:style>
  <w:style w:type="character" w:styleId="WW8Num44z1" w:customStyle="1">
    <w:name w:val="WW8Num44z1"/>
    <w:qFormat/>
    <w:rPr/>
  </w:style>
  <w:style w:type="character" w:styleId="WW8Num44z2" w:customStyle="1">
    <w:name w:val="WW8Num44z2"/>
    <w:qFormat/>
    <w:rPr/>
  </w:style>
  <w:style w:type="character" w:styleId="WW8Num44z3" w:customStyle="1">
    <w:name w:val="WW8Num44z3"/>
    <w:qFormat/>
    <w:rPr/>
  </w:style>
  <w:style w:type="character" w:styleId="WW8Num44z4" w:customStyle="1">
    <w:name w:val="WW8Num44z4"/>
    <w:qFormat/>
    <w:rPr/>
  </w:style>
  <w:style w:type="character" w:styleId="WW8Num44z5" w:customStyle="1">
    <w:name w:val="WW8Num44z5"/>
    <w:qFormat/>
    <w:rPr/>
  </w:style>
  <w:style w:type="character" w:styleId="WW8Num44z6" w:customStyle="1">
    <w:name w:val="WW8Num44z6"/>
    <w:qFormat/>
    <w:rPr/>
  </w:style>
  <w:style w:type="character" w:styleId="WW8Num44z7" w:customStyle="1">
    <w:name w:val="WW8Num44z7"/>
    <w:qFormat/>
    <w:rPr/>
  </w:style>
  <w:style w:type="character" w:styleId="WW8Num44z8" w:customStyle="1">
    <w:name w:val="WW8Num44z8"/>
    <w:qFormat/>
    <w:rPr/>
  </w:style>
  <w:style w:type="character" w:styleId="WW8Num45z0" w:customStyle="1">
    <w:name w:val="WW8Num45z0"/>
    <w:qFormat/>
    <w:rPr/>
  </w:style>
  <w:style w:type="character" w:styleId="WW8Num45z1" w:customStyle="1">
    <w:name w:val="WW8Num45z1"/>
    <w:qFormat/>
    <w:rPr/>
  </w:style>
  <w:style w:type="character" w:styleId="WW8Num45z2" w:customStyle="1">
    <w:name w:val="WW8Num45z2"/>
    <w:qFormat/>
    <w:rPr/>
  </w:style>
  <w:style w:type="character" w:styleId="WW8Num45z3" w:customStyle="1">
    <w:name w:val="WW8Num45z3"/>
    <w:qFormat/>
    <w:rPr/>
  </w:style>
  <w:style w:type="character" w:styleId="WW8Num45z4" w:customStyle="1">
    <w:name w:val="WW8Num45z4"/>
    <w:qFormat/>
    <w:rPr/>
  </w:style>
  <w:style w:type="character" w:styleId="WW8Num45z5" w:customStyle="1">
    <w:name w:val="WW8Num45z5"/>
    <w:qFormat/>
    <w:rPr/>
  </w:style>
  <w:style w:type="character" w:styleId="WW8Num45z6" w:customStyle="1">
    <w:name w:val="WW8Num45z6"/>
    <w:qFormat/>
    <w:rPr/>
  </w:style>
  <w:style w:type="character" w:styleId="WW8Num45z7" w:customStyle="1">
    <w:name w:val="WW8Num45z7"/>
    <w:qFormat/>
    <w:rPr/>
  </w:style>
  <w:style w:type="character" w:styleId="WW8Num45z8" w:customStyle="1">
    <w:name w:val="WW8Num45z8"/>
    <w:qFormat/>
    <w:rPr/>
  </w:style>
  <w:style w:type="character" w:styleId="1" w:customStyle="1">
    <w:name w:val="Основной шрифт абзаца1"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Pagenumber">
    <w:name w:val="page number"/>
    <w:basedOn w:val="1"/>
    <w:qFormat/>
    <w:rPr/>
  </w:style>
  <w:style w:type="character" w:styleId="Hyperlink">
    <w:name w:val="Hyperlink"/>
    <w:rPr>
      <w:color w:val="0000FF"/>
      <w:u w:val="single"/>
    </w:rPr>
  </w:style>
  <w:style w:type="character" w:styleId="11" w:customStyle="1">
    <w:name w:val="Знак примечания1"/>
    <w:qFormat/>
    <w:rPr>
      <w:sz w:val="16"/>
      <w:szCs w:val="16"/>
    </w:rPr>
  </w:style>
  <w:style w:type="character" w:styleId="Strong1" w:customStyle="1">
    <w:name w:val="Strong1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 w:cs="Cambria"/>
      <w:i/>
      <w:iCs/>
      <w:color w:val="243F60"/>
      <w:lang w:val="ru-RU"/>
    </w:rPr>
  </w:style>
  <w:style w:type="character" w:styleId="7" w:customStyle="1">
    <w:name w:val="Заголовок 7 Знак"/>
    <w:qFormat/>
    <w:rPr>
      <w:rFonts w:ascii="Cambria" w:hAnsi="Cambria" w:cs="Cambria"/>
      <w:i/>
      <w:iCs/>
      <w:color w:val="404040"/>
      <w:lang w:val="ru-RU"/>
    </w:rPr>
  </w:style>
  <w:style w:type="character" w:styleId="8" w:customStyle="1">
    <w:name w:val="Заголовок 8 Знак"/>
    <w:qFormat/>
    <w:rPr>
      <w:rFonts w:ascii="Cambria" w:hAnsi="Cambria" w:cs="Cambria"/>
      <w:color w:val="4F81BD"/>
      <w:lang w:val="ru-RU"/>
    </w:rPr>
  </w:style>
  <w:style w:type="character" w:styleId="12" w:customStyle="1">
    <w:name w:val="Заголовок 1 Знак"/>
    <w:qFormat/>
    <w:rPr>
      <w:b/>
      <w:sz w:val="24"/>
    </w:rPr>
  </w:style>
  <w:style w:type="character" w:styleId="21" w:customStyle="1">
    <w:name w:val="Заголовок 2 Знак"/>
    <w:qFormat/>
    <w:rPr>
      <w:rFonts w:ascii="Arial" w:hAnsi="Arial" w:cs="Arial"/>
      <w:b/>
      <w:bCs/>
      <w:i/>
      <w:iCs/>
      <w:sz w:val="28"/>
      <w:szCs w:val="28"/>
    </w:rPr>
  </w:style>
  <w:style w:type="character" w:styleId="31" w:customStyle="1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qFormat/>
    <w:rPr>
      <w:b/>
      <w:bCs/>
      <w:sz w:val="28"/>
      <w:szCs w:val="28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 w:cs="Cambria"/>
      <w:i/>
      <w:iCs/>
      <w:color w:val="4F81BD"/>
      <w:spacing w:val="15"/>
      <w:sz w:val="24"/>
      <w:szCs w:val="24"/>
      <w:lang w:val="ru-RU"/>
    </w:rPr>
  </w:style>
  <w:style w:type="character" w:styleId="Emphasis">
    <w:name w:val="Emphasis"/>
    <w:qFormat/>
    <w:rPr>
      <w:i/>
      <w:iCs/>
    </w:rPr>
  </w:style>
  <w:style w:type="character" w:styleId="22" w:customStyle="1">
    <w:name w:val="Цитата 2 Знак"/>
    <w:qFormat/>
    <w:rPr>
      <w:rFonts w:ascii="Calibri" w:hAnsi="Calibri" w:eastAsia="Calibri" w:cs="Calibri"/>
      <w:i/>
      <w:iCs/>
      <w:color w:val="000000"/>
      <w:lang w:val="ru-RU"/>
    </w:rPr>
  </w:style>
  <w:style w:type="character" w:styleId="Style3" w:customStyle="1">
    <w:name w:val="Выделенная цитата Знак"/>
    <w:qFormat/>
    <w:rPr>
      <w:rFonts w:ascii="Calibri" w:hAnsi="Calibri" w:eastAsia="Calibri" w:cs="Calibri"/>
      <w:b/>
      <w:bCs/>
      <w:i/>
      <w:iCs/>
      <w:color w:val="4F81BD"/>
      <w:lang w:val="ru-RU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qFormat/>
    <w:rPr>
      <w:rFonts w:eastAsia="Calibri"/>
      <w:sz w:val="24"/>
      <w:szCs w:val="24"/>
    </w:rPr>
  </w:style>
  <w:style w:type="character" w:styleId="13" w:customStyle="1">
    <w:name w:val="Подпункт Знак1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Style7" w:customStyle="1">
    <w:name w:val="Нижний колонтитул Знак"/>
    <w:qFormat/>
    <w:rPr>
      <w:sz w:val="28"/>
      <w:szCs w:val="28"/>
    </w:rPr>
  </w:style>
  <w:style w:type="character" w:styleId="Style8" w:customStyle="1">
    <w:name w:val="Основной текст с отступом Знак"/>
    <w:qFormat/>
    <w:rPr>
      <w:sz w:val="24"/>
      <w:szCs w:val="24"/>
    </w:rPr>
  </w:style>
  <w:style w:type="character" w:styleId="23" w:customStyle="1">
    <w:name w:val="Основной текст с отступом 2 Знак"/>
    <w:qFormat/>
    <w:rPr>
      <w:sz w:val="28"/>
      <w:szCs w:val="28"/>
    </w:rPr>
  </w:style>
  <w:style w:type="character" w:styleId="Style9" w:customStyle="1">
    <w:name w:val="Текст примечания Знак"/>
    <w:qFormat/>
    <w:rPr/>
  </w:style>
  <w:style w:type="character" w:styleId="Blk" w:customStyle="1">
    <w:name w:val="blk"/>
    <w:qFormat/>
    <w:rPr>
      <w:vanish w:val="false"/>
    </w:rPr>
  </w:style>
  <w:style w:type="character" w:styleId="HTML" w:customStyle="1">
    <w:name w:val="Стандартный HTML Знак"/>
    <w:qFormat/>
    <w:rPr>
      <w:rFonts w:ascii="Courier New" w:hAnsi="Courier New" w:cs="Courier New"/>
    </w:rPr>
  </w:style>
  <w:style w:type="character" w:styleId="FollowedHyperlink">
    <w:name w:val="FollowedHyperlink"/>
    <w:rPr>
      <w:color w:val="800080"/>
      <w:u w:val="single"/>
    </w:rPr>
  </w:style>
  <w:style w:type="character" w:styleId="24" w:customStyle="1">
    <w:name w:val="Знак примечания2"/>
    <w:qFormat/>
    <w:rPr>
      <w:sz w:val="16"/>
      <w:szCs w:val="16"/>
    </w:rPr>
  </w:style>
  <w:style w:type="character" w:styleId="14" w:customStyle="1">
    <w:name w:val="Текст примечания Знак1"/>
    <w:qFormat/>
    <w:rPr>
      <w:lang w:eastAsia="zh-CN"/>
    </w:rPr>
  </w:style>
  <w:style w:type="character" w:styleId="Style10" w:customStyle="1">
    <w:name w:val="комментарий"/>
    <w:qFormat/>
    <w:rPr>
      <w:b/>
      <w:i/>
      <w:shd w:fill="FFFF99" w:val="clear"/>
    </w:rPr>
  </w:style>
  <w:style w:type="character" w:styleId="Style11" w:customStyle="1">
    <w:name w:val="Абзац списка Знак"/>
    <w:qFormat/>
    <w:rPr>
      <w:rFonts w:eastAsia="Calibri"/>
      <w:sz w:val="24"/>
      <w:szCs w:val="24"/>
      <w:lang w:eastAsia="zh-CN"/>
    </w:rPr>
  </w:style>
  <w:style w:type="character" w:styleId="E1ckvoeh1" w:customStyle="1">
    <w:name w:val="e1ckvoeh1"/>
    <w:qFormat/>
    <w:rPr/>
  </w:style>
  <w:style w:type="character" w:styleId="E1ckvoeh0" w:customStyle="1">
    <w:name w:val="e1ckvoeh0"/>
    <w:qFormat/>
    <w:rPr/>
  </w:style>
  <w:style w:type="character" w:styleId="15" w:customStyle="1">
    <w:name w:val="Знак сноски1"/>
    <w:qFormat/>
    <w:rPr>
      <w:vertAlign w:val="superscript"/>
    </w:rPr>
  </w:style>
  <w:style w:type="character" w:styleId="Style12" w:customStyle="1">
    <w:name w:val="Маркеры"/>
    <w:qFormat/>
    <w:rPr>
      <w:rFonts w:ascii="OpenSymbol;Arial Unicode MS" w:hAnsi="OpenSymbol;Arial Unicode MS" w:eastAsia="OpenSymbol;Arial Unicode MS" w:cs="OpenSymbol;Arial Unicode MS"/>
    </w:rPr>
  </w:style>
  <w:style w:type="character" w:styleId="Style13" w:customStyle="1">
    <w:name w:val="Ссылка указателя"/>
    <w:qFormat/>
    <w:rPr/>
  </w:style>
  <w:style w:type="character" w:styleId="Strong">
    <w:name w:val="Strong"/>
    <w:qFormat/>
    <w:rPr>
      <w:b/>
      <w:bCs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spacing w:before="240" w:after="120"/>
    </w:pPr>
    <w:rPr>
      <w:rFonts w:ascii="Liberation Sans" w:hAnsi="Liberation Sans" w:eastAsia="Noto Sans CJK SC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32" w:customStyle="1">
    <w:name w:val="Заголовок3"/>
    <w:basedOn w:val="Normal"/>
    <w:next w:val="BodyText"/>
    <w:qFormat/>
    <w:pPr>
      <w:spacing w:before="240" w:after="120"/>
    </w:pPr>
    <w:rPr>
      <w:rFonts w:ascii="Liberation Sans;Arial" w:hAnsi="Liberation Sans;Arial" w:eastAsia="Noto Sans CJK SC" w:cs="Arial Unicode MS"/>
    </w:rPr>
  </w:style>
  <w:style w:type="paragraph" w:styleId="33" w:customStyle="1">
    <w:name w:val="Указатель3"/>
    <w:basedOn w:val="Normal"/>
    <w:qFormat/>
    <w:pPr>
      <w:suppressLineNumbers/>
    </w:pPr>
    <w:rPr>
      <w:rFonts w:cs="Arial Unicode MS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25" w:customStyle="1">
    <w:name w:val="Заголовок2"/>
    <w:basedOn w:val="Normal"/>
    <w:next w:val="BodyText"/>
    <w:qFormat/>
    <w:pPr>
      <w:spacing w:before="240" w:after="120"/>
    </w:pPr>
    <w:rPr>
      <w:rFonts w:ascii="Liberation Sans;Arial" w:hAnsi="Liberation Sans;Arial" w:eastAsia="Arial Unicode MS" w:cs="Arial Unicode MS"/>
    </w:rPr>
  </w:style>
  <w:style w:type="paragraph" w:styleId="34" w:customStyle="1">
    <w:name w:val="Название объекта3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26" w:customStyle="1">
    <w:name w:val="Указатель2"/>
    <w:basedOn w:val="Normal"/>
    <w:qFormat/>
    <w:pPr>
      <w:suppressLineNumbers/>
    </w:pPr>
    <w:rPr/>
  </w:style>
  <w:style w:type="paragraph" w:styleId="16" w:customStyle="1">
    <w:name w:val="Заголовок1"/>
    <w:basedOn w:val="Normal"/>
    <w:next w:val="BodyText"/>
    <w:qFormat/>
    <w:pPr>
      <w:jc w:val="center"/>
    </w:pPr>
    <w:rPr>
      <w:szCs w:val="20"/>
    </w:rPr>
  </w:style>
  <w:style w:type="paragraph" w:styleId="27" w:customStyle="1">
    <w:name w:val="Название объекта2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17" w:customStyle="1">
    <w:name w:val="Указатель1"/>
    <w:basedOn w:val="Normal"/>
    <w:qFormat/>
    <w:pPr>
      <w:suppressLineNumbers/>
    </w:pPr>
    <w:rPr/>
  </w:style>
  <w:style w:type="paragraph" w:styleId="Style16" w:customStyle="1">
    <w:name w:val="Название раздела инструкции"/>
    <w:basedOn w:val="Normal"/>
    <w:qFormat/>
    <w:pPr>
      <w:spacing w:lineRule="auto" w:line="276"/>
      <w:jc w:val="center"/>
    </w:pPr>
    <w:rPr>
      <w:bCs/>
      <w:sz w:val="26"/>
      <w:szCs w:val="26"/>
    </w:rPr>
  </w:style>
  <w:style w:type="paragraph" w:styleId="Style17" w:customStyle="1">
    <w:name w:val="Раздел положения"/>
    <w:basedOn w:val="Normal"/>
    <w:qFormat/>
    <w:pPr>
      <w:numPr>
        <w:ilvl w:val="0"/>
        <w:numId w:val="2"/>
      </w:numPr>
      <w:spacing w:before="80" w:after="80"/>
      <w:jc w:val="center"/>
    </w:pPr>
    <w:rPr>
      <w:b/>
      <w:sz w:val="32"/>
      <w:szCs w:val="32"/>
    </w:rPr>
  </w:style>
  <w:style w:type="paragraph" w:styleId="Style18" w:customStyle="1">
    <w:name w:val="Подраздел раздела положения"/>
    <w:basedOn w:val="Normal"/>
    <w:qFormat/>
    <w:pPr>
      <w:tabs>
        <w:tab w:val="clear" w:pos="708"/>
        <w:tab w:val="left" w:pos="360" w:leader="none"/>
      </w:tabs>
      <w:spacing w:before="80" w:after="80"/>
      <w:ind w:left="360" w:hanging="360"/>
      <w:jc w:val="both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18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8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5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Style19" w:customStyle="1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11" w:customStyle="1">
    <w:name w:val="Основной текст с отступом 21"/>
    <w:basedOn w:val="Normal"/>
    <w:qFormat/>
    <w:pPr>
      <w:spacing w:lineRule="auto" w:line="480" w:before="0" w:after="120"/>
      <w:ind w:left="283" w:hanging="0"/>
    </w:pPr>
    <w:rPr/>
  </w:style>
  <w:style w:type="paragraph" w:styleId="311" w:customStyle="1">
    <w:name w:val="Основной текст 31"/>
    <w:basedOn w:val="Normal"/>
    <w:qFormat/>
    <w:pPr>
      <w:spacing w:before="0" w:after="120"/>
    </w:pPr>
    <w:rPr>
      <w:sz w:val="16"/>
      <w:szCs w:val="16"/>
    </w:rPr>
  </w:style>
  <w:style w:type="paragraph" w:styleId="312" w:customStyle="1">
    <w:name w:val="Основной текст с отступом 31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212" w:customStyle="1">
    <w:name w:val="Основной текст 21"/>
    <w:basedOn w:val="Normal"/>
    <w:qFormat/>
    <w:pPr>
      <w:spacing w:lineRule="auto" w:line="480" w:before="0" w:after="120"/>
    </w:pPr>
    <w:rPr/>
  </w:style>
  <w:style w:type="paragraph" w:styleId="19" w:customStyle="1">
    <w:name w:val="Цитата1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0" w:customStyle="1">
    <w:name w:val="Подпункт"/>
    <w:basedOn w:val="Normal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</w:rPr>
  </w:style>
  <w:style w:type="paragraph" w:styleId="29" w:customStyle="1">
    <w:name w:val="Пункт2"/>
    <w:basedOn w:val="Normal"/>
    <w:qFormat/>
    <w:pPr>
      <w:tabs>
        <w:tab w:val="clear" w:pos="708"/>
        <w:tab w:val="left" w:pos="1134" w:leader="none"/>
      </w:tabs>
      <w:snapToGrid w:val="false"/>
      <w:spacing w:before="240" w:after="120"/>
      <w:ind w:left="1134" w:hanging="1134"/>
    </w:pPr>
    <w:rPr>
      <w:b/>
      <w:szCs w:val="20"/>
    </w:rPr>
  </w:style>
  <w:style w:type="paragraph" w:styleId="TOC1">
    <w:name w:val="TOC 1"/>
    <w:basedOn w:val="Normal"/>
    <w:next w:val="Normal"/>
    <w:pPr/>
    <w:rPr/>
  </w:style>
  <w:style w:type="paragraph" w:styleId="TOC3">
    <w:name w:val="TOC 3"/>
    <w:basedOn w:val="Normal"/>
    <w:next w:val="Normal"/>
    <w:pPr>
      <w:ind w:left="560" w:hanging="0"/>
    </w:pPr>
    <w:rPr/>
  </w:style>
  <w:style w:type="paragraph" w:styleId="Style21" w:customStyle="1">
    <w:name w:val="Раздел регламента"/>
    <w:basedOn w:val="Normal"/>
    <w:qFormat/>
    <w:pPr/>
    <w:rPr/>
  </w:style>
  <w:style w:type="paragraph" w:styleId="Style22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pPr>
      <w:ind w:left="280" w:hanging="0"/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110" w:customStyle="1">
    <w:name w:val="Текст примечания1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110"/>
    <w:next w:val="110"/>
    <w:qFormat/>
    <w:pPr/>
    <w:rPr>
      <w:b/>
      <w:bCs/>
    </w:rPr>
  </w:style>
  <w:style w:type="paragraph" w:styleId="NormalWeb">
    <w:name w:val="Normal (Web)"/>
    <w:basedOn w:val="Normal"/>
    <w:qFormat/>
    <w:pPr>
      <w:suppressAutoHyphens w:val="false"/>
      <w:spacing w:before="280" w:after="280"/>
    </w:pPr>
    <w:rPr/>
  </w:style>
  <w:style w:type="paragraph" w:styleId="TOC9">
    <w:name w:val="TOC 9"/>
    <w:basedOn w:val="Normal"/>
    <w:next w:val="Normal"/>
    <w:pPr>
      <w:ind w:left="2240" w:hanging="0"/>
    </w:pPr>
    <w:rPr/>
  </w:style>
  <w:style w:type="paragraph" w:styleId="TOC5">
    <w:name w:val="TOC 5"/>
    <w:basedOn w:val="Normal"/>
    <w:next w:val="Normal"/>
    <w:pPr>
      <w:ind w:left="1120" w:hanging="0"/>
    </w:pPr>
    <w:rPr/>
  </w:style>
  <w:style w:type="paragraph" w:styleId="TOC4">
    <w:name w:val="TOC 4"/>
    <w:basedOn w:val="Normal"/>
    <w:next w:val="Normal"/>
    <w:pPr>
      <w:ind w:left="840" w:hanging="0"/>
    </w:pPr>
    <w:rPr/>
  </w:style>
  <w:style w:type="paragraph" w:styleId="210" w:customStyle="1">
    <w:name w:val="Раздел положения 2"/>
    <w:basedOn w:val="Normal"/>
    <w:qFormat/>
    <w:pPr>
      <w:pageBreakBefore/>
      <w:jc w:val="both"/>
    </w:pPr>
    <w:rPr>
      <w:b/>
    </w:rPr>
  </w:style>
  <w:style w:type="paragraph" w:styleId="Style23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111" w:customStyle="1">
    <w:name w:val="Название объекта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qFormat/>
    <w:pPr>
      <w:ind w:left="1066" w:firstLine="709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cs="Calibri"/>
      <w:sz w:val="22"/>
      <w:szCs w:val="22"/>
    </w:rPr>
  </w:style>
  <w:style w:type="paragraph" w:styleId="Quote">
    <w:name w:val="Quote"/>
    <w:basedOn w:val="Normal"/>
    <w:next w:val="Normal"/>
    <w:qFormat/>
    <w:pPr/>
    <w:rPr>
      <w:rFonts w:ascii="Calibri" w:hAnsi="Calibri" w:eastAsia="Calibri" w:cs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 w:cs="Calibri"/>
      <w:b/>
      <w:bCs/>
      <w:i/>
      <w:iCs/>
      <w:color w:val="4F81BD"/>
      <w:sz w:val="20"/>
      <w:szCs w:val="20"/>
    </w:rPr>
  </w:style>
  <w:style w:type="paragraph" w:styleId="112" w:customStyle="1">
    <w:name w:val="Заголовок таблицы ссылок1"/>
    <w:basedOn w:val="Heading1"/>
    <w:next w:val="Normal"/>
    <w:qFormat/>
    <w:pPr>
      <w:keepLines/>
      <w:numPr>
        <w:ilvl w:val="0"/>
        <w:numId w:val="0"/>
      </w:numPr>
      <w:spacing w:before="480" w:after="0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E-mailSignature">
    <w:name w:val="E-mail Signature"/>
    <w:basedOn w:val="Normal"/>
    <w:qFormat/>
    <w:pPr/>
    <w:rPr>
      <w:rFonts w:eastAsia="Calibri"/>
      <w:sz w:val="24"/>
      <w:szCs w:val="24"/>
    </w:rPr>
  </w:style>
  <w:style w:type="paragraph" w:styleId="Style24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36" w:customStyle="1">
    <w:name w:val="Нумерованный список ур3"/>
    <w:basedOn w:val="Normal"/>
    <w:qFormat/>
    <w:pPr>
      <w:numPr>
        <w:ilvl w:val="0"/>
        <w:numId w:val="3"/>
      </w:numPr>
      <w:jc w:val="both"/>
    </w:pPr>
    <w:rPr>
      <w:rFonts w:ascii="Garamond" w:hAnsi="Garamond" w:cs="Garamond"/>
      <w:sz w:val="24"/>
      <w:szCs w:val="20"/>
    </w:rPr>
  </w:style>
  <w:style w:type="paragraph" w:styleId="113" w:customStyle="1">
    <w:name w:val="Нумерованный список1"/>
    <w:basedOn w:val="Normal"/>
    <w:qFormat/>
    <w:pPr>
      <w:tabs>
        <w:tab w:val="clear" w:pos="708"/>
        <w:tab w:val="left" w:pos="0" w:leader="none"/>
      </w:tabs>
      <w:spacing w:before="120" w:after="0"/>
      <w:ind w:left="207" w:hanging="360"/>
      <w:jc w:val="both"/>
    </w:pPr>
    <w:rPr>
      <w:rFonts w:ascii="Garamond" w:hAnsi="Garamond" w:cs="Garamond"/>
      <w:sz w:val="24"/>
      <w:szCs w:val="20"/>
    </w:rPr>
  </w:style>
  <w:style w:type="paragraph" w:styleId="213" w:customStyle="1">
    <w:name w:val="Нумерованный список ур2"/>
    <w:basedOn w:val="Normal"/>
    <w:qFormat/>
    <w:pPr>
      <w:tabs>
        <w:tab w:val="clear" w:pos="708"/>
        <w:tab w:val="left" w:pos="0" w:leader="none"/>
      </w:tabs>
      <w:spacing w:before="120" w:after="0"/>
      <w:ind w:left="207" w:hanging="360"/>
      <w:jc w:val="both"/>
    </w:pPr>
    <w:rPr>
      <w:rFonts w:ascii="Garamond" w:hAnsi="Garamond" w:cs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eastAsia="zh-CN" w:val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zh-CN" w:val="ru-RU" w:bidi="ar-SA"/>
    </w:rPr>
  </w:style>
  <w:style w:type="paragraph" w:styleId="37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/>
    </w:rPr>
  </w:style>
  <w:style w:type="paragraph" w:styleId="Style25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 w:cs="Arial"/>
      <w:b/>
      <w:i/>
      <w:szCs w:val="20"/>
    </w:rPr>
  </w:style>
  <w:style w:type="paragraph" w:styleId="Style26" w:customStyle="1">
    <w:name w:val="Таблица"/>
    <w:basedOn w:val="Normal"/>
    <w:qFormat/>
    <w:pPr/>
    <w:rPr>
      <w:sz w:val="20"/>
      <w:szCs w:val="20"/>
    </w:rPr>
  </w:style>
  <w:style w:type="paragraph" w:styleId="HTMLPreformatted">
    <w:name w:val="HTML Preformatted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ru-RU" w:bidi="ar-SA"/>
    </w:rPr>
  </w:style>
  <w:style w:type="paragraph" w:styleId="Msonormal" w:customStyle="1">
    <w:name w:val="msonormal"/>
    <w:basedOn w:val="Normal"/>
    <w:qFormat/>
    <w:pPr>
      <w:spacing w:before="280" w:after="280"/>
    </w:pPr>
    <w:rPr>
      <w:sz w:val="24"/>
      <w:szCs w:val="24"/>
    </w:rPr>
  </w:style>
  <w:style w:type="paragraph" w:styleId="Font5" w:customStyle="1">
    <w:name w:val="font5"/>
    <w:basedOn w:val="Normal"/>
    <w:qFormat/>
    <w:pPr>
      <w:spacing w:before="280" w:after="280"/>
    </w:pPr>
    <w:rPr>
      <w:rFonts w:ascii="Tahoma" w:hAnsi="Tahoma" w:cs="Tahoma"/>
      <w:color w:val="000000"/>
      <w:sz w:val="18"/>
      <w:szCs w:val="18"/>
    </w:rPr>
  </w:style>
  <w:style w:type="paragraph" w:styleId="Font6" w:customStyle="1">
    <w:name w:val="font6"/>
    <w:basedOn w:val="Normal"/>
    <w:qFormat/>
    <w:pPr>
      <w:spacing w:before="280" w:after="280"/>
    </w:pPr>
    <w:rPr>
      <w:rFonts w:ascii="Tahoma" w:hAnsi="Tahoma" w:cs="Tahoma"/>
      <w:b/>
      <w:bCs/>
      <w:color w:val="000000"/>
      <w:sz w:val="18"/>
      <w:szCs w:val="18"/>
    </w:rPr>
  </w:style>
  <w:style w:type="paragraph" w:styleId="Xl65" w:customStyle="1">
    <w:name w:val="xl6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2"/>
      <w:szCs w:val="22"/>
    </w:rPr>
  </w:style>
  <w:style w:type="paragraph" w:styleId="Xl66" w:customStyle="1">
    <w:name w:val="xl6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styleId="Xl67" w:customStyle="1">
    <w:name w:val="xl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6"/>
      <w:szCs w:val="26"/>
    </w:rPr>
  </w:style>
  <w:style w:type="paragraph" w:styleId="Xl68" w:customStyle="1">
    <w:name w:val="xl6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6"/>
      <w:szCs w:val="26"/>
    </w:rPr>
  </w:style>
  <w:style w:type="paragraph" w:styleId="Xl69" w:customStyle="1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sz w:val="26"/>
      <w:szCs w:val="26"/>
    </w:rPr>
  </w:style>
  <w:style w:type="paragraph" w:styleId="Xl70" w:customStyle="1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6"/>
      <w:szCs w:val="26"/>
    </w:rPr>
  </w:style>
  <w:style w:type="paragraph" w:styleId="Xl71" w:customStyle="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6"/>
      <w:szCs w:val="26"/>
    </w:rPr>
  </w:style>
  <w:style w:type="paragraph" w:styleId="Xl72" w:customStyle="1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6"/>
      <w:szCs w:val="26"/>
    </w:rPr>
  </w:style>
  <w:style w:type="paragraph" w:styleId="Xl73" w:customStyle="1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6"/>
      <w:szCs w:val="26"/>
    </w:rPr>
  </w:style>
  <w:style w:type="paragraph" w:styleId="Xl74" w:customStyle="1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sz w:val="24"/>
      <w:szCs w:val="24"/>
    </w:rPr>
  </w:style>
  <w:style w:type="paragraph" w:styleId="Xl75" w:customStyle="1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styleId="Xl76" w:customStyle="1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styleId="Xl77" w:customStyle="1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styleId="Xl78" w:customStyle="1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2"/>
      <w:szCs w:val="22"/>
    </w:rPr>
  </w:style>
  <w:style w:type="paragraph" w:styleId="Xl79" w:customStyle="1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styleId="Xl80" w:customStyle="1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styleId="Xl81" w:customStyle="1">
    <w:name w:val="xl8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2"/>
      <w:szCs w:val="22"/>
    </w:rPr>
  </w:style>
  <w:style w:type="paragraph" w:styleId="Xl82" w:customStyle="1">
    <w:name w:val="xl8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</w:rPr>
  </w:style>
  <w:style w:type="paragraph" w:styleId="Xl83" w:customStyle="1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styleId="Xl84" w:customStyle="1">
    <w:name w:val="xl8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styleId="Xl85" w:customStyle="1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styleId="Xl86" w:customStyle="1">
    <w:name w:val="xl8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6"/>
      <w:szCs w:val="26"/>
    </w:rPr>
  </w:style>
  <w:style w:type="paragraph" w:styleId="Xl87" w:customStyle="1">
    <w:name w:val="xl8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  <w:u w:val="single"/>
    </w:rPr>
  </w:style>
  <w:style w:type="paragraph" w:styleId="Xl88" w:customStyle="1">
    <w:name w:val="xl88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  <w:u w:val="single"/>
    </w:rPr>
  </w:style>
  <w:style w:type="paragraph" w:styleId="Xl89" w:customStyle="1">
    <w:name w:val="xl89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  <w:u w:val="single"/>
    </w:rPr>
  </w:style>
  <w:style w:type="paragraph" w:styleId="Xl90" w:customStyle="1">
    <w:name w:val="xl9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styleId="Xl91" w:customStyle="1">
    <w:name w:val="xl91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styleId="Xl92" w:customStyle="1">
    <w:name w:val="xl92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styleId="Xl93" w:customStyle="1">
    <w:name w:val="xl9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styleId="Style27" w:customStyle="1">
    <w:name w:val="Содержимое таблицы"/>
    <w:basedOn w:val="Normal"/>
    <w:qFormat/>
    <w:pPr>
      <w:suppressLineNumbers/>
    </w:pPr>
    <w:rPr/>
  </w:style>
  <w:style w:type="paragraph" w:styleId="Style28" w:customStyle="1">
    <w:name w:val="Заголовок таблицы"/>
    <w:basedOn w:val="Style27"/>
    <w:qFormat/>
    <w:pPr>
      <w:jc w:val="center"/>
    </w:pPr>
    <w:rPr>
      <w:b/>
      <w:bCs/>
    </w:rPr>
  </w:style>
  <w:style w:type="paragraph" w:styleId="Style29" w:customStyle="1">
    <w:name w:val="Содержимое врезки"/>
    <w:basedOn w:val="Normal"/>
    <w:qFormat/>
    <w:pPr/>
    <w:rPr/>
  </w:style>
  <w:style w:type="paragraph" w:styleId="214" w:customStyle="1">
    <w:name w:val="Текст примечания2"/>
    <w:basedOn w:val="Normal"/>
    <w:qFormat/>
    <w:pPr/>
    <w:rPr>
      <w:sz w:val="20"/>
      <w:szCs w:val="20"/>
    </w:rPr>
  </w:style>
  <w:style w:type="paragraph" w:styleId="Style30" w:customStyle="1">
    <w:name w:val="Таблица шапка"/>
    <w:basedOn w:val="Normal"/>
    <w:qFormat/>
    <w:pPr>
      <w:suppressAutoHyphens w:val="false"/>
      <w:spacing w:before="40" w:after="40"/>
      <w:ind w:left="57" w:right="57" w:hanging="0"/>
    </w:pPr>
    <w:rPr>
      <w:sz w:val="22"/>
      <w:szCs w:val="26"/>
    </w:rPr>
  </w:style>
  <w:style w:type="paragraph" w:styleId="TOC6">
    <w:name w:val="TOC 6"/>
    <w:basedOn w:val="33"/>
    <w:pPr/>
    <w:rPr/>
  </w:style>
  <w:style w:type="paragraph" w:styleId="TOC7">
    <w:name w:val="TOC 7"/>
    <w:basedOn w:val="33"/>
    <w:pPr/>
    <w:rPr/>
  </w:style>
  <w:style w:type="paragraph" w:styleId="TOC8">
    <w:name w:val="TOC 8"/>
    <w:basedOn w:val="33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AlterOffice/3.4.0.9$Linux_X86_64 LibreOffice_project/b8daf9e823b1a5463a2f48435ddc2e8696e7d4fc</Application>
  <AppVersion>15.0000</AppVersion>
  <Pages>10</Pages>
  <Words>1002</Words>
  <Characters>6469</Characters>
  <CharactersWithSpaces>7326</CharactersWithSpaces>
  <Paragraphs>163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2024-06-03T09:26:00Z</dcterms:created>
  <dc:creator>ErmolaevKA</dc:creator>
  <dc:description/>
  <dc:language>ru-RU</dc:language>
  <cp:lastModifiedBy>ryabenkovas@corp.gidroogk.com</cp:lastModifiedBy>
  <dcterms:modified xsi:type="dcterms:W3CDTF">2026-06-08T08:47:25Z</dcterms:modified>
  <cp:revision>23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